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DAF7" w14:textId="77777777" w:rsidR="00322D5D" w:rsidRPr="002F7D5B" w:rsidRDefault="00322D5D">
      <w:pPr>
        <w:jc w:val="both"/>
        <w:rPr>
          <w:rFonts w:ascii="Arial" w:hAnsi="Arial" w:cs="Arial"/>
          <w:sz w:val="22"/>
          <w:szCs w:val="22"/>
        </w:rPr>
      </w:pPr>
    </w:p>
    <w:p w14:paraId="10E41E09" w14:textId="77777777" w:rsidR="00D42F63" w:rsidRPr="002F7D5B" w:rsidRDefault="00D42F63">
      <w:pPr>
        <w:jc w:val="both"/>
        <w:rPr>
          <w:rFonts w:ascii="Arial" w:hAnsi="Arial" w:cs="Arial"/>
          <w:sz w:val="22"/>
          <w:szCs w:val="22"/>
        </w:rPr>
      </w:pPr>
    </w:p>
    <w:p w14:paraId="1A60ECC1" w14:textId="77777777" w:rsidR="00D42F63" w:rsidRPr="002F7D5B" w:rsidRDefault="00D42F63">
      <w:pPr>
        <w:jc w:val="both"/>
        <w:rPr>
          <w:rFonts w:ascii="Arial" w:hAnsi="Arial" w:cs="Arial"/>
          <w:sz w:val="22"/>
          <w:szCs w:val="22"/>
        </w:rPr>
      </w:pPr>
    </w:p>
    <w:p w14:paraId="13676568" w14:textId="77777777" w:rsidR="00D42F63" w:rsidRPr="002F7D5B" w:rsidRDefault="00D42F63">
      <w:pPr>
        <w:jc w:val="both"/>
        <w:rPr>
          <w:rFonts w:ascii="Arial" w:hAnsi="Arial" w:cs="Arial"/>
          <w:sz w:val="22"/>
          <w:szCs w:val="22"/>
        </w:rPr>
      </w:pPr>
    </w:p>
    <w:p w14:paraId="00AA1097" w14:textId="77777777" w:rsidR="00D42F63" w:rsidRPr="002F7D5B" w:rsidRDefault="00D42F63">
      <w:pPr>
        <w:jc w:val="both"/>
        <w:rPr>
          <w:rFonts w:ascii="Arial" w:hAnsi="Arial" w:cs="Arial"/>
          <w:sz w:val="22"/>
          <w:szCs w:val="22"/>
        </w:rPr>
      </w:pPr>
    </w:p>
    <w:p w14:paraId="174B211D" w14:textId="77777777" w:rsidR="00D42F63" w:rsidRPr="002F7D5B" w:rsidRDefault="00D42F63">
      <w:pPr>
        <w:jc w:val="both"/>
        <w:rPr>
          <w:rFonts w:ascii="Arial" w:hAnsi="Arial" w:cs="Arial"/>
          <w:sz w:val="22"/>
          <w:szCs w:val="22"/>
        </w:rPr>
      </w:pPr>
    </w:p>
    <w:p w14:paraId="3842081D" w14:textId="77777777" w:rsidR="00D42F63" w:rsidRPr="002F7D5B" w:rsidRDefault="00D42F63">
      <w:pPr>
        <w:jc w:val="both"/>
        <w:rPr>
          <w:rFonts w:ascii="Arial" w:hAnsi="Arial" w:cs="Arial"/>
          <w:sz w:val="22"/>
          <w:szCs w:val="22"/>
        </w:rPr>
      </w:pPr>
    </w:p>
    <w:p w14:paraId="583E16D0" w14:textId="77777777" w:rsidR="00D42F63" w:rsidRPr="002F7D5B" w:rsidRDefault="00D42F63">
      <w:pPr>
        <w:jc w:val="both"/>
        <w:rPr>
          <w:rFonts w:ascii="Arial" w:hAnsi="Arial" w:cs="Arial"/>
          <w:sz w:val="22"/>
          <w:szCs w:val="22"/>
        </w:rPr>
      </w:pPr>
    </w:p>
    <w:p w14:paraId="60FE1CA7" w14:textId="77777777" w:rsidR="00D42F63" w:rsidRPr="002F7D5B" w:rsidRDefault="00D42F63">
      <w:pPr>
        <w:jc w:val="both"/>
        <w:rPr>
          <w:rFonts w:ascii="Arial" w:hAnsi="Arial" w:cs="Arial"/>
          <w:sz w:val="22"/>
          <w:szCs w:val="22"/>
        </w:rPr>
      </w:pPr>
    </w:p>
    <w:p w14:paraId="0F9E0C83" w14:textId="77777777" w:rsidR="00322D5D" w:rsidRPr="002F7D5B" w:rsidRDefault="00322D5D">
      <w:pPr>
        <w:jc w:val="both"/>
        <w:rPr>
          <w:rFonts w:ascii="Arial" w:hAnsi="Arial" w:cs="Arial"/>
          <w:sz w:val="22"/>
          <w:szCs w:val="22"/>
        </w:rPr>
      </w:pPr>
    </w:p>
    <w:p w14:paraId="3D52A8E6" w14:textId="77777777" w:rsidR="00322D5D" w:rsidRPr="002F7D5B" w:rsidRDefault="00322D5D">
      <w:pPr>
        <w:jc w:val="both"/>
        <w:rPr>
          <w:rFonts w:ascii="Arial" w:hAnsi="Arial" w:cs="Arial"/>
          <w:sz w:val="22"/>
          <w:szCs w:val="22"/>
        </w:rPr>
      </w:pPr>
    </w:p>
    <w:p w14:paraId="272658F2" w14:textId="77777777" w:rsidR="00322D5D" w:rsidRPr="002F7D5B" w:rsidRDefault="00322D5D">
      <w:pPr>
        <w:jc w:val="both"/>
        <w:rPr>
          <w:rFonts w:ascii="Arial" w:hAnsi="Arial" w:cs="Arial"/>
          <w:sz w:val="22"/>
          <w:szCs w:val="22"/>
        </w:rPr>
      </w:pPr>
    </w:p>
    <w:p w14:paraId="052F0A25" w14:textId="77777777" w:rsidR="00322D5D" w:rsidRPr="002F7D5B" w:rsidRDefault="00322D5D">
      <w:pPr>
        <w:jc w:val="both"/>
        <w:rPr>
          <w:rFonts w:ascii="Arial" w:hAnsi="Arial" w:cs="Arial"/>
          <w:sz w:val="22"/>
          <w:szCs w:val="22"/>
        </w:rPr>
      </w:pPr>
    </w:p>
    <w:p w14:paraId="78A4D2D4" w14:textId="77777777" w:rsidR="00322D5D" w:rsidRPr="002F7D5B" w:rsidRDefault="00322D5D">
      <w:pPr>
        <w:jc w:val="both"/>
        <w:rPr>
          <w:rFonts w:ascii="Arial" w:hAnsi="Arial" w:cs="Arial"/>
          <w:sz w:val="22"/>
          <w:szCs w:val="22"/>
        </w:rPr>
      </w:pPr>
    </w:p>
    <w:p w14:paraId="6639015B" w14:textId="77777777" w:rsidR="00322D5D" w:rsidRPr="002F7D5B" w:rsidRDefault="00322D5D">
      <w:pPr>
        <w:jc w:val="both"/>
        <w:rPr>
          <w:rFonts w:ascii="Arial" w:hAnsi="Arial" w:cs="Arial"/>
          <w:sz w:val="22"/>
          <w:szCs w:val="22"/>
        </w:rPr>
      </w:pPr>
    </w:p>
    <w:p w14:paraId="33F5E117" w14:textId="77777777" w:rsidR="00322D5D" w:rsidRPr="002F7D5B" w:rsidRDefault="00322D5D">
      <w:pPr>
        <w:jc w:val="both"/>
        <w:rPr>
          <w:rFonts w:ascii="Arial" w:hAnsi="Arial" w:cs="Arial"/>
          <w:b/>
          <w:bCs/>
          <w:sz w:val="22"/>
          <w:szCs w:val="22"/>
        </w:rPr>
      </w:pPr>
    </w:p>
    <w:p w14:paraId="7AC911CF" w14:textId="77777777" w:rsidR="00322D5D" w:rsidRPr="002F7D5B" w:rsidRDefault="00322D5D">
      <w:pPr>
        <w:jc w:val="both"/>
        <w:rPr>
          <w:rFonts w:ascii="Arial" w:hAnsi="Arial" w:cs="Arial"/>
          <w:b/>
          <w:bCs/>
          <w:sz w:val="22"/>
          <w:szCs w:val="22"/>
        </w:rPr>
      </w:pPr>
    </w:p>
    <w:p w14:paraId="0EBD25F7" w14:textId="77777777" w:rsidR="00322D5D" w:rsidRPr="002F7D5B" w:rsidRDefault="00322D5D">
      <w:pPr>
        <w:jc w:val="both"/>
        <w:rPr>
          <w:rFonts w:ascii="Arial" w:hAnsi="Arial" w:cs="Arial"/>
          <w:b/>
          <w:bCs/>
          <w:sz w:val="22"/>
          <w:szCs w:val="22"/>
        </w:rPr>
      </w:pPr>
    </w:p>
    <w:p w14:paraId="096640A3" w14:textId="77777777" w:rsidR="00322D5D" w:rsidRPr="002F7D5B" w:rsidRDefault="00322D5D">
      <w:pPr>
        <w:jc w:val="center"/>
        <w:rPr>
          <w:rFonts w:ascii="Arial" w:hAnsi="Arial" w:cs="Arial"/>
          <w:b/>
          <w:bCs/>
          <w:sz w:val="22"/>
          <w:szCs w:val="22"/>
        </w:rPr>
      </w:pPr>
      <w:r w:rsidRPr="002F7D5B">
        <w:rPr>
          <w:rFonts w:ascii="Arial" w:hAnsi="Arial" w:cs="Arial"/>
          <w:b/>
          <w:bCs/>
          <w:sz w:val="22"/>
          <w:szCs w:val="22"/>
        </w:rPr>
        <w:t xml:space="preserve">TOWN OF </w:t>
      </w:r>
      <w:r w:rsidR="009730F9" w:rsidRPr="002F7D5B">
        <w:rPr>
          <w:rFonts w:ascii="Arial" w:hAnsi="Arial" w:cs="Arial"/>
          <w:b/>
          <w:bCs/>
          <w:sz w:val="22"/>
          <w:szCs w:val="22"/>
        </w:rPr>
        <w:t>COLRAIN</w:t>
      </w:r>
      <w:r w:rsidRPr="002F7D5B">
        <w:rPr>
          <w:rFonts w:ascii="Arial" w:hAnsi="Arial" w:cs="Arial"/>
          <w:b/>
          <w:bCs/>
          <w:sz w:val="22"/>
          <w:szCs w:val="22"/>
        </w:rPr>
        <w:t>, MASSACHUSETTS</w:t>
      </w:r>
    </w:p>
    <w:p w14:paraId="32CA60C4" w14:textId="77777777" w:rsidR="00322D5D" w:rsidRPr="002F7D5B" w:rsidRDefault="00322D5D">
      <w:pPr>
        <w:jc w:val="center"/>
        <w:rPr>
          <w:rFonts w:ascii="Arial" w:hAnsi="Arial" w:cs="Arial"/>
          <w:b/>
          <w:bCs/>
          <w:sz w:val="22"/>
          <w:szCs w:val="22"/>
        </w:rPr>
      </w:pPr>
    </w:p>
    <w:p w14:paraId="18EF17D9" w14:textId="77777777" w:rsidR="00322D5D" w:rsidRPr="002F7D5B" w:rsidRDefault="00322D5D">
      <w:pPr>
        <w:jc w:val="center"/>
        <w:rPr>
          <w:rFonts w:ascii="Arial" w:hAnsi="Arial" w:cs="Arial"/>
          <w:b/>
          <w:bCs/>
          <w:sz w:val="22"/>
          <w:szCs w:val="22"/>
        </w:rPr>
      </w:pPr>
      <w:r w:rsidRPr="002F7D5B">
        <w:rPr>
          <w:rFonts w:ascii="Arial" w:hAnsi="Arial" w:cs="Arial"/>
          <w:b/>
          <w:bCs/>
          <w:sz w:val="22"/>
          <w:szCs w:val="22"/>
        </w:rPr>
        <w:t>MANAGEMENT LETTER</w:t>
      </w:r>
    </w:p>
    <w:p w14:paraId="27728EBD" w14:textId="77777777" w:rsidR="00322D5D" w:rsidRPr="002F7D5B" w:rsidRDefault="00322D5D">
      <w:pPr>
        <w:jc w:val="center"/>
        <w:rPr>
          <w:rFonts w:ascii="Arial" w:hAnsi="Arial" w:cs="Arial"/>
          <w:b/>
          <w:bCs/>
          <w:sz w:val="22"/>
          <w:szCs w:val="22"/>
        </w:rPr>
      </w:pPr>
    </w:p>
    <w:p w14:paraId="70DAB742" w14:textId="30E891A4" w:rsidR="00322D5D" w:rsidRPr="002F7D5B" w:rsidRDefault="00AF1B14">
      <w:pPr>
        <w:jc w:val="center"/>
        <w:rPr>
          <w:rFonts w:ascii="Arial" w:hAnsi="Arial" w:cs="Arial"/>
          <w:b/>
          <w:bCs/>
          <w:sz w:val="22"/>
          <w:szCs w:val="22"/>
        </w:rPr>
      </w:pPr>
      <w:r w:rsidRPr="002F7D5B">
        <w:rPr>
          <w:rFonts w:ascii="Arial" w:hAnsi="Arial" w:cs="Arial"/>
          <w:b/>
          <w:bCs/>
          <w:sz w:val="22"/>
          <w:szCs w:val="22"/>
        </w:rPr>
        <w:t xml:space="preserve">FOR THE YEAR ENDED JUNE 30, </w:t>
      </w:r>
      <w:r w:rsidR="002B035D">
        <w:rPr>
          <w:rFonts w:ascii="Arial" w:hAnsi="Arial" w:cs="Arial"/>
          <w:b/>
          <w:bCs/>
          <w:sz w:val="22"/>
          <w:szCs w:val="22"/>
        </w:rPr>
        <w:t>20</w:t>
      </w:r>
      <w:r w:rsidR="00DC0FE7">
        <w:rPr>
          <w:rFonts w:ascii="Arial" w:hAnsi="Arial" w:cs="Arial"/>
          <w:b/>
          <w:bCs/>
          <w:sz w:val="22"/>
          <w:szCs w:val="22"/>
        </w:rPr>
        <w:t>20</w:t>
      </w:r>
    </w:p>
    <w:p w14:paraId="11B54D93" w14:textId="77777777" w:rsidR="00322D5D" w:rsidRPr="002F7D5B" w:rsidRDefault="00322D5D">
      <w:pPr>
        <w:jc w:val="both"/>
        <w:rPr>
          <w:rFonts w:ascii="Arial" w:hAnsi="Arial" w:cs="Arial"/>
          <w:b/>
          <w:bCs/>
          <w:sz w:val="22"/>
          <w:szCs w:val="22"/>
        </w:rPr>
      </w:pPr>
    </w:p>
    <w:p w14:paraId="736DB7C6" w14:textId="77777777" w:rsidR="00322D5D" w:rsidRPr="002F7D5B" w:rsidRDefault="00322D5D">
      <w:pPr>
        <w:jc w:val="both"/>
        <w:rPr>
          <w:rFonts w:ascii="Arial" w:hAnsi="Arial" w:cs="Arial"/>
          <w:sz w:val="22"/>
          <w:szCs w:val="22"/>
        </w:rPr>
      </w:pPr>
    </w:p>
    <w:p w14:paraId="533009AF" w14:textId="77777777" w:rsidR="00322D5D" w:rsidRPr="002F7D5B" w:rsidRDefault="00322D5D">
      <w:pPr>
        <w:jc w:val="both"/>
        <w:rPr>
          <w:rFonts w:ascii="Arial" w:hAnsi="Arial" w:cs="Arial"/>
          <w:sz w:val="22"/>
          <w:szCs w:val="22"/>
        </w:rPr>
      </w:pPr>
    </w:p>
    <w:p w14:paraId="74F067FF" w14:textId="77777777" w:rsidR="00322D5D" w:rsidRPr="002F7D5B" w:rsidRDefault="00322D5D">
      <w:pPr>
        <w:jc w:val="both"/>
        <w:rPr>
          <w:rFonts w:ascii="Arial" w:hAnsi="Arial" w:cs="Arial"/>
          <w:sz w:val="22"/>
          <w:szCs w:val="22"/>
        </w:rPr>
      </w:pPr>
    </w:p>
    <w:p w14:paraId="45D29148" w14:textId="77777777" w:rsidR="00322D5D" w:rsidRPr="002F7D5B" w:rsidRDefault="00322D5D">
      <w:pPr>
        <w:jc w:val="both"/>
        <w:rPr>
          <w:rFonts w:ascii="Arial" w:hAnsi="Arial" w:cs="Arial"/>
          <w:sz w:val="22"/>
          <w:szCs w:val="22"/>
        </w:rPr>
      </w:pPr>
    </w:p>
    <w:p w14:paraId="3A1C4382" w14:textId="77777777" w:rsidR="00322D5D" w:rsidRPr="002F7D5B" w:rsidRDefault="00322D5D">
      <w:pPr>
        <w:jc w:val="both"/>
        <w:rPr>
          <w:rFonts w:ascii="Arial" w:hAnsi="Arial" w:cs="Arial"/>
          <w:sz w:val="22"/>
          <w:szCs w:val="22"/>
        </w:rPr>
      </w:pPr>
    </w:p>
    <w:p w14:paraId="6956AF96" w14:textId="77777777" w:rsidR="00322D5D" w:rsidRPr="002F7D5B" w:rsidRDefault="00322D5D">
      <w:pPr>
        <w:jc w:val="both"/>
        <w:rPr>
          <w:rFonts w:ascii="Arial" w:hAnsi="Arial" w:cs="Arial"/>
          <w:sz w:val="22"/>
          <w:szCs w:val="22"/>
        </w:rPr>
      </w:pPr>
    </w:p>
    <w:p w14:paraId="3D9AF3C5" w14:textId="77777777" w:rsidR="00322D5D" w:rsidRPr="002F7D5B" w:rsidRDefault="00322D5D">
      <w:pPr>
        <w:jc w:val="both"/>
        <w:rPr>
          <w:rFonts w:ascii="Arial" w:hAnsi="Arial" w:cs="Arial"/>
          <w:sz w:val="22"/>
          <w:szCs w:val="22"/>
        </w:rPr>
      </w:pPr>
    </w:p>
    <w:p w14:paraId="7C86A414" w14:textId="77777777" w:rsidR="00322D5D" w:rsidRPr="002F7D5B" w:rsidRDefault="00322D5D">
      <w:pPr>
        <w:jc w:val="both"/>
        <w:rPr>
          <w:rFonts w:ascii="Arial" w:hAnsi="Arial" w:cs="Arial"/>
          <w:sz w:val="22"/>
          <w:szCs w:val="22"/>
        </w:rPr>
      </w:pPr>
    </w:p>
    <w:p w14:paraId="54519976" w14:textId="77777777" w:rsidR="00322D5D" w:rsidRPr="002F7D5B" w:rsidRDefault="00322D5D">
      <w:pPr>
        <w:jc w:val="both"/>
        <w:rPr>
          <w:rFonts w:ascii="Arial" w:hAnsi="Arial" w:cs="Arial"/>
          <w:sz w:val="22"/>
          <w:szCs w:val="22"/>
        </w:rPr>
      </w:pPr>
    </w:p>
    <w:p w14:paraId="597929FE" w14:textId="77777777" w:rsidR="00322D5D" w:rsidRPr="002F7D5B" w:rsidRDefault="00322D5D">
      <w:pPr>
        <w:jc w:val="both"/>
        <w:rPr>
          <w:rFonts w:ascii="Arial" w:hAnsi="Arial" w:cs="Arial"/>
          <w:sz w:val="22"/>
          <w:szCs w:val="22"/>
        </w:rPr>
      </w:pPr>
    </w:p>
    <w:p w14:paraId="184CE538" w14:textId="77777777" w:rsidR="00322D5D" w:rsidRPr="002F7D5B" w:rsidRDefault="00322D5D">
      <w:pPr>
        <w:jc w:val="both"/>
        <w:rPr>
          <w:rFonts w:ascii="Arial" w:hAnsi="Arial" w:cs="Arial"/>
          <w:sz w:val="22"/>
          <w:szCs w:val="22"/>
        </w:rPr>
      </w:pPr>
    </w:p>
    <w:p w14:paraId="5902570E" w14:textId="77777777" w:rsidR="00322D5D" w:rsidRPr="002F7D5B" w:rsidRDefault="00322D5D">
      <w:pPr>
        <w:jc w:val="both"/>
        <w:rPr>
          <w:rFonts w:ascii="Arial" w:hAnsi="Arial" w:cs="Arial"/>
          <w:sz w:val="22"/>
          <w:szCs w:val="22"/>
        </w:rPr>
      </w:pPr>
    </w:p>
    <w:p w14:paraId="49D29964" w14:textId="77777777" w:rsidR="00322D5D" w:rsidRPr="002F7D5B" w:rsidRDefault="00322D5D">
      <w:pPr>
        <w:jc w:val="both"/>
        <w:rPr>
          <w:rFonts w:ascii="Arial" w:hAnsi="Arial" w:cs="Arial"/>
          <w:sz w:val="22"/>
          <w:szCs w:val="22"/>
        </w:rPr>
      </w:pPr>
    </w:p>
    <w:p w14:paraId="2F535AFC" w14:textId="77777777" w:rsidR="00322D5D" w:rsidRPr="002F7D5B" w:rsidRDefault="00322D5D">
      <w:pPr>
        <w:jc w:val="both"/>
        <w:rPr>
          <w:rFonts w:ascii="Arial" w:hAnsi="Arial" w:cs="Arial"/>
          <w:sz w:val="22"/>
          <w:szCs w:val="22"/>
        </w:rPr>
      </w:pPr>
    </w:p>
    <w:p w14:paraId="2BD63E3B" w14:textId="77777777" w:rsidR="00322D5D" w:rsidRPr="002F7D5B" w:rsidRDefault="00322D5D">
      <w:pPr>
        <w:jc w:val="both"/>
        <w:rPr>
          <w:rFonts w:ascii="Arial" w:hAnsi="Arial" w:cs="Arial"/>
          <w:sz w:val="22"/>
          <w:szCs w:val="22"/>
        </w:rPr>
      </w:pPr>
    </w:p>
    <w:p w14:paraId="551E1840" w14:textId="77777777" w:rsidR="00322D5D" w:rsidRPr="002F7D5B" w:rsidRDefault="00322D5D">
      <w:pPr>
        <w:jc w:val="both"/>
        <w:rPr>
          <w:rFonts w:ascii="Arial" w:hAnsi="Arial" w:cs="Arial"/>
          <w:sz w:val="22"/>
          <w:szCs w:val="22"/>
        </w:rPr>
      </w:pPr>
    </w:p>
    <w:p w14:paraId="7E953FA4" w14:textId="77777777" w:rsidR="00322D5D" w:rsidRPr="002F7D5B" w:rsidRDefault="00322D5D">
      <w:pPr>
        <w:jc w:val="both"/>
        <w:rPr>
          <w:rFonts w:ascii="Arial" w:hAnsi="Arial" w:cs="Arial"/>
          <w:sz w:val="22"/>
          <w:szCs w:val="22"/>
        </w:rPr>
      </w:pPr>
    </w:p>
    <w:p w14:paraId="3EB7621A" w14:textId="77777777" w:rsidR="00322D5D" w:rsidRPr="002F7D5B" w:rsidRDefault="00322D5D">
      <w:pPr>
        <w:jc w:val="both"/>
        <w:rPr>
          <w:rFonts w:ascii="Arial" w:hAnsi="Arial" w:cs="Arial"/>
          <w:sz w:val="22"/>
          <w:szCs w:val="22"/>
        </w:rPr>
      </w:pPr>
    </w:p>
    <w:p w14:paraId="1C3B4C19" w14:textId="77777777" w:rsidR="00322D5D" w:rsidRPr="002F7D5B" w:rsidRDefault="00322D5D">
      <w:pPr>
        <w:jc w:val="both"/>
        <w:rPr>
          <w:rFonts w:ascii="Arial" w:hAnsi="Arial" w:cs="Arial"/>
          <w:sz w:val="22"/>
          <w:szCs w:val="22"/>
        </w:rPr>
      </w:pPr>
    </w:p>
    <w:p w14:paraId="29E32DF4" w14:textId="77777777" w:rsidR="00322D5D" w:rsidRPr="002F7D5B" w:rsidRDefault="00322D5D">
      <w:pPr>
        <w:jc w:val="both"/>
        <w:rPr>
          <w:rFonts w:ascii="Arial" w:hAnsi="Arial" w:cs="Arial"/>
          <w:sz w:val="22"/>
          <w:szCs w:val="22"/>
        </w:rPr>
      </w:pPr>
    </w:p>
    <w:p w14:paraId="0B66BF70" w14:textId="77777777" w:rsidR="00322D5D" w:rsidRPr="002F7D5B" w:rsidRDefault="00322D5D">
      <w:pPr>
        <w:jc w:val="both"/>
        <w:rPr>
          <w:rFonts w:ascii="Arial" w:hAnsi="Arial" w:cs="Arial"/>
          <w:sz w:val="22"/>
          <w:szCs w:val="22"/>
        </w:rPr>
      </w:pPr>
    </w:p>
    <w:p w14:paraId="7FCADE56" w14:textId="77777777" w:rsidR="00322D5D" w:rsidRPr="002F7D5B" w:rsidRDefault="00322D5D">
      <w:pPr>
        <w:jc w:val="both"/>
        <w:rPr>
          <w:rFonts w:ascii="Arial" w:hAnsi="Arial" w:cs="Arial"/>
          <w:sz w:val="22"/>
          <w:szCs w:val="22"/>
        </w:rPr>
      </w:pPr>
    </w:p>
    <w:p w14:paraId="24C0815B" w14:textId="77777777" w:rsidR="00322D5D" w:rsidRPr="002F7D5B" w:rsidRDefault="00322D5D">
      <w:pPr>
        <w:jc w:val="both"/>
        <w:rPr>
          <w:rFonts w:ascii="Arial" w:hAnsi="Arial" w:cs="Arial"/>
          <w:sz w:val="22"/>
          <w:szCs w:val="22"/>
        </w:rPr>
      </w:pPr>
    </w:p>
    <w:p w14:paraId="082F3A22" w14:textId="77777777" w:rsidR="00322D5D" w:rsidRPr="002F7D5B" w:rsidRDefault="00322D5D">
      <w:pPr>
        <w:jc w:val="both"/>
        <w:rPr>
          <w:rFonts w:ascii="Arial" w:hAnsi="Arial" w:cs="Arial"/>
          <w:sz w:val="22"/>
          <w:szCs w:val="22"/>
        </w:rPr>
      </w:pPr>
    </w:p>
    <w:p w14:paraId="16D5D510" w14:textId="77777777" w:rsidR="00322D5D" w:rsidRPr="002F7D5B" w:rsidRDefault="00322D5D">
      <w:pPr>
        <w:jc w:val="both"/>
        <w:rPr>
          <w:rFonts w:ascii="Arial" w:hAnsi="Arial" w:cs="Arial"/>
          <w:sz w:val="22"/>
          <w:szCs w:val="22"/>
        </w:rPr>
      </w:pPr>
    </w:p>
    <w:p w14:paraId="245B8ED2" w14:textId="77777777" w:rsidR="00322D5D" w:rsidRPr="002F7D5B" w:rsidRDefault="00322D5D">
      <w:pPr>
        <w:jc w:val="both"/>
        <w:rPr>
          <w:rFonts w:ascii="Arial" w:hAnsi="Arial" w:cs="Arial"/>
          <w:sz w:val="22"/>
          <w:szCs w:val="22"/>
        </w:rPr>
      </w:pPr>
    </w:p>
    <w:p w14:paraId="6782D71E" w14:textId="77777777" w:rsidR="00322D5D" w:rsidRPr="002F7D5B" w:rsidRDefault="00322D5D">
      <w:pPr>
        <w:jc w:val="both"/>
        <w:rPr>
          <w:rFonts w:ascii="Arial" w:hAnsi="Arial" w:cs="Arial"/>
          <w:sz w:val="22"/>
          <w:szCs w:val="22"/>
        </w:rPr>
      </w:pPr>
    </w:p>
    <w:p w14:paraId="21838905" w14:textId="77777777" w:rsidR="00322D5D" w:rsidRPr="002F7D5B" w:rsidRDefault="00322D5D">
      <w:pPr>
        <w:jc w:val="both"/>
        <w:rPr>
          <w:rFonts w:ascii="Arial" w:hAnsi="Arial" w:cs="Arial"/>
          <w:sz w:val="22"/>
          <w:szCs w:val="22"/>
        </w:rPr>
      </w:pPr>
    </w:p>
    <w:p w14:paraId="4E2C469A" w14:textId="77777777" w:rsidR="00322D5D" w:rsidRPr="002F7D5B" w:rsidRDefault="00322D5D">
      <w:pPr>
        <w:jc w:val="center"/>
        <w:rPr>
          <w:rFonts w:ascii="Arial" w:hAnsi="Arial" w:cs="Arial"/>
          <w:b/>
          <w:sz w:val="22"/>
          <w:szCs w:val="22"/>
        </w:rPr>
      </w:pPr>
      <w:r w:rsidRPr="002F7D5B">
        <w:rPr>
          <w:rFonts w:ascii="Arial" w:hAnsi="Arial" w:cs="Arial"/>
          <w:b/>
          <w:sz w:val="22"/>
          <w:szCs w:val="22"/>
        </w:rPr>
        <w:br w:type="page"/>
      </w:r>
      <w:r w:rsidRPr="002F7D5B">
        <w:rPr>
          <w:rFonts w:ascii="Arial" w:hAnsi="Arial" w:cs="Arial"/>
          <w:b/>
          <w:sz w:val="22"/>
          <w:szCs w:val="22"/>
        </w:rPr>
        <w:lastRenderedPageBreak/>
        <w:t xml:space="preserve">TOWN OF </w:t>
      </w:r>
      <w:r w:rsidR="009730F9" w:rsidRPr="002F7D5B">
        <w:rPr>
          <w:rFonts w:ascii="Arial" w:hAnsi="Arial" w:cs="Arial"/>
          <w:b/>
          <w:sz w:val="22"/>
          <w:szCs w:val="22"/>
        </w:rPr>
        <w:t>COLRAIN</w:t>
      </w:r>
      <w:r w:rsidRPr="002F7D5B">
        <w:rPr>
          <w:rFonts w:ascii="Arial" w:hAnsi="Arial" w:cs="Arial"/>
          <w:b/>
          <w:sz w:val="22"/>
          <w:szCs w:val="22"/>
        </w:rPr>
        <w:t>, MASSACHUSETTS</w:t>
      </w:r>
    </w:p>
    <w:p w14:paraId="139D6E38" w14:textId="77777777" w:rsidR="00322D5D" w:rsidRPr="002F7D5B" w:rsidRDefault="00322D5D">
      <w:pPr>
        <w:jc w:val="center"/>
        <w:rPr>
          <w:rFonts w:ascii="Arial" w:hAnsi="Arial" w:cs="Arial"/>
          <w:b/>
          <w:sz w:val="22"/>
          <w:szCs w:val="22"/>
        </w:rPr>
      </w:pPr>
    </w:p>
    <w:p w14:paraId="199A1FE1" w14:textId="77777777" w:rsidR="00322D5D" w:rsidRPr="002F7D5B" w:rsidRDefault="00322D5D">
      <w:pPr>
        <w:jc w:val="center"/>
        <w:rPr>
          <w:rFonts w:ascii="Arial" w:hAnsi="Arial" w:cs="Arial"/>
          <w:b/>
          <w:sz w:val="22"/>
          <w:szCs w:val="22"/>
        </w:rPr>
      </w:pPr>
      <w:r w:rsidRPr="002F7D5B">
        <w:rPr>
          <w:rFonts w:ascii="Arial" w:hAnsi="Arial" w:cs="Arial"/>
          <w:b/>
          <w:sz w:val="22"/>
          <w:szCs w:val="22"/>
        </w:rPr>
        <w:t>Management Letter</w:t>
      </w:r>
    </w:p>
    <w:p w14:paraId="48C5C3CB" w14:textId="77777777" w:rsidR="00322D5D" w:rsidRPr="002F7D5B" w:rsidRDefault="00322D5D">
      <w:pPr>
        <w:jc w:val="center"/>
        <w:rPr>
          <w:rFonts w:ascii="Arial" w:hAnsi="Arial" w:cs="Arial"/>
          <w:b/>
          <w:sz w:val="22"/>
          <w:szCs w:val="22"/>
        </w:rPr>
      </w:pPr>
    </w:p>
    <w:p w14:paraId="65F52068" w14:textId="13F5360C" w:rsidR="00322D5D" w:rsidRPr="002F7D5B" w:rsidRDefault="00AF1B14">
      <w:pPr>
        <w:jc w:val="center"/>
        <w:rPr>
          <w:rFonts w:ascii="Arial" w:hAnsi="Arial" w:cs="Arial"/>
          <w:b/>
          <w:sz w:val="22"/>
          <w:szCs w:val="22"/>
        </w:rPr>
      </w:pPr>
      <w:r w:rsidRPr="002F7D5B">
        <w:rPr>
          <w:rFonts w:ascii="Arial" w:hAnsi="Arial" w:cs="Arial"/>
          <w:b/>
          <w:sz w:val="22"/>
          <w:szCs w:val="22"/>
        </w:rPr>
        <w:t xml:space="preserve">Year Ended June 30, </w:t>
      </w:r>
      <w:r w:rsidR="002B035D">
        <w:rPr>
          <w:rFonts w:ascii="Arial" w:hAnsi="Arial" w:cs="Arial"/>
          <w:b/>
          <w:sz w:val="22"/>
          <w:szCs w:val="22"/>
        </w:rPr>
        <w:t>20</w:t>
      </w:r>
      <w:r w:rsidR="00DC0FE7">
        <w:rPr>
          <w:rFonts w:ascii="Arial" w:hAnsi="Arial" w:cs="Arial"/>
          <w:b/>
          <w:sz w:val="22"/>
          <w:szCs w:val="22"/>
        </w:rPr>
        <w:t>20</w:t>
      </w:r>
    </w:p>
    <w:p w14:paraId="07E91192" w14:textId="77777777" w:rsidR="00322D5D" w:rsidRPr="002F7D5B" w:rsidRDefault="00322D5D">
      <w:pPr>
        <w:jc w:val="both"/>
        <w:rPr>
          <w:rFonts w:ascii="Arial" w:hAnsi="Arial" w:cs="Arial"/>
          <w:sz w:val="22"/>
          <w:szCs w:val="22"/>
        </w:rPr>
      </w:pPr>
    </w:p>
    <w:p w14:paraId="1353D513" w14:textId="77777777" w:rsidR="00322D5D" w:rsidRPr="002F7D5B" w:rsidRDefault="00322D5D">
      <w:pPr>
        <w:jc w:val="both"/>
        <w:rPr>
          <w:rFonts w:ascii="Arial" w:hAnsi="Arial" w:cs="Arial"/>
          <w:sz w:val="22"/>
          <w:szCs w:val="22"/>
        </w:rPr>
      </w:pPr>
    </w:p>
    <w:p w14:paraId="1221F4E0" w14:textId="77777777" w:rsidR="00322D5D" w:rsidRPr="002F7D5B" w:rsidRDefault="00322D5D" w:rsidP="005632BA">
      <w:pPr>
        <w:tabs>
          <w:tab w:val="left" w:pos="7470"/>
          <w:tab w:val="right" w:pos="9360"/>
        </w:tabs>
        <w:jc w:val="both"/>
        <w:rPr>
          <w:rFonts w:ascii="Arial" w:hAnsi="Arial" w:cs="Arial"/>
          <w:b/>
          <w:sz w:val="22"/>
          <w:szCs w:val="22"/>
          <w:u w:val="single"/>
        </w:rPr>
      </w:pPr>
      <w:r w:rsidRPr="002F7D5B">
        <w:rPr>
          <w:rFonts w:ascii="Arial" w:hAnsi="Arial" w:cs="Arial"/>
          <w:sz w:val="22"/>
          <w:szCs w:val="22"/>
        </w:rPr>
        <w:tab/>
      </w:r>
      <w:r w:rsidRPr="002F7D5B">
        <w:rPr>
          <w:rFonts w:ascii="Arial" w:hAnsi="Arial" w:cs="Arial"/>
          <w:sz w:val="22"/>
          <w:szCs w:val="22"/>
        </w:rPr>
        <w:tab/>
      </w:r>
      <w:r w:rsidRPr="002F7D5B">
        <w:rPr>
          <w:rFonts w:ascii="Arial" w:hAnsi="Arial" w:cs="Arial"/>
          <w:b/>
          <w:sz w:val="22"/>
          <w:szCs w:val="22"/>
          <w:u w:val="single"/>
        </w:rPr>
        <w:t>Page</w:t>
      </w:r>
    </w:p>
    <w:p w14:paraId="3BBBE6FA" w14:textId="77777777" w:rsidR="00322D5D" w:rsidRPr="002F7D5B" w:rsidRDefault="00322D5D">
      <w:pPr>
        <w:tabs>
          <w:tab w:val="left" w:pos="7470"/>
          <w:tab w:val="right" w:pos="8550"/>
        </w:tabs>
        <w:jc w:val="both"/>
        <w:rPr>
          <w:rFonts w:ascii="Arial" w:hAnsi="Arial" w:cs="Arial"/>
          <w:b/>
          <w:sz w:val="22"/>
          <w:szCs w:val="22"/>
          <w:u w:val="single"/>
        </w:rPr>
      </w:pPr>
    </w:p>
    <w:p w14:paraId="3298E81A" w14:textId="77777777" w:rsidR="00322D5D" w:rsidRPr="002F7D5B" w:rsidRDefault="00322D5D" w:rsidP="000552D6">
      <w:pPr>
        <w:tabs>
          <w:tab w:val="right" w:leader="dot" w:pos="9180"/>
        </w:tabs>
        <w:jc w:val="both"/>
        <w:rPr>
          <w:rFonts w:ascii="Arial" w:hAnsi="Arial" w:cs="Arial"/>
          <w:sz w:val="22"/>
          <w:szCs w:val="22"/>
        </w:rPr>
      </w:pPr>
      <w:r w:rsidRPr="002F7D5B">
        <w:rPr>
          <w:rFonts w:ascii="Arial" w:hAnsi="Arial" w:cs="Arial"/>
          <w:b/>
          <w:sz w:val="22"/>
          <w:szCs w:val="22"/>
        </w:rPr>
        <w:t>TABLE OF CONTENTS</w:t>
      </w:r>
      <w:r w:rsidRPr="002F7D5B">
        <w:rPr>
          <w:rFonts w:ascii="Arial" w:hAnsi="Arial" w:cs="Arial"/>
          <w:sz w:val="22"/>
          <w:szCs w:val="22"/>
        </w:rPr>
        <w:tab/>
        <w:t>2</w:t>
      </w:r>
      <w:r w:rsidRPr="002F7D5B">
        <w:rPr>
          <w:rFonts w:ascii="Arial" w:hAnsi="Arial" w:cs="Arial"/>
          <w:sz w:val="22"/>
          <w:szCs w:val="22"/>
        </w:rPr>
        <w:tab/>
        <w:t xml:space="preserve"> </w:t>
      </w:r>
    </w:p>
    <w:p w14:paraId="2F0CFAC6" w14:textId="77777777" w:rsidR="00322D5D" w:rsidRPr="002F7D5B" w:rsidRDefault="00322D5D" w:rsidP="000F2732">
      <w:pPr>
        <w:tabs>
          <w:tab w:val="right" w:leader="dot" w:pos="9000"/>
        </w:tabs>
        <w:jc w:val="both"/>
        <w:rPr>
          <w:rFonts w:ascii="Arial" w:hAnsi="Arial" w:cs="Arial"/>
          <w:sz w:val="22"/>
          <w:szCs w:val="22"/>
        </w:rPr>
      </w:pPr>
    </w:p>
    <w:p w14:paraId="1FFD42CB" w14:textId="77777777" w:rsidR="00322D5D" w:rsidRPr="002F7D5B" w:rsidRDefault="00322D5D" w:rsidP="000F2732">
      <w:pPr>
        <w:tabs>
          <w:tab w:val="right" w:leader="dot" w:pos="9000"/>
        </w:tabs>
        <w:jc w:val="both"/>
        <w:rPr>
          <w:rFonts w:ascii="Arial" w:hAnsi="Arial" w:cs="Arial"/>
          <w:sz w:val="22"/>
          <w:szCs w:val="22"/>
        </w:rPr>
      </w:pPr>
    </w:p>
    <w:p w14:paraId="51F81673" w14:textId="77777777" w:rsidR="00322D5D" w:rsidRPr="002F7D5B" w:rsidRDefault="00322D5D" w:rsidP="000552D6">
      <w:pPr>
        <w:tabs>
          <w:tab w:val="right" w:leader="dot" w:pos="9180"/>
        </w:tabs>
        <w:jc w:val="both"/>
        <w:rPr>
          <w:rFonts w:ascii="Arial" w:hAnsi="Arial" w:cs="Arial"/>
          <w:sz w:val="22"/>
          <w:szCs w:val="22"/>
        </w:rPr>
      </w:pPr>
      <w:r w:rsidRPr="002F7D5B">
        <w:rPr>
          <w:rFonts w:ascii="Arial" w:hAnsi="Arial" w:cs="Arial"/>
          <w:b/>
          <w:sz w:val="22"/>
          <w:szCs w:val="22"/>
        </w:rPr>
        <w:t>INTRODUCTORY LETTER</w:t>
      </w:r>
      <w:r w:rsidRPr="002F7D5B">
        <w:rPr>
          <w:rFonts w:ascii="Arial" w:hAnsi="Arial" w:cs="Arial"/>
          <w:sz w:val="22"/>
          <w:szCs w:val="22"/>
        </w:rPr>
        <w:tab/>
        <w:t>3</w:t>
      </w:r>
    </w:p>
    <w:p w14:paraId="3582162A" w14:textId="77777777" w:rsidR="00322D5D" w:rsidRPr="002F7D5B" w:rsidRDefault="00322D5D" w:rsidP="000F2732">
      <w:pPr>
        <w:tabs>
          <w:tab w:val="right" w:leader="dot" w:pos="9000"/>
        </w:tabs>
        <w:jc w:val="both"/>
        <w:rPr>
          <w:rFonts w:ascii="Arial" w:hAnsi="Arial" w:cs="Arial"/>
          <w:sz w:val="22"/>
          <w:szCs w:val="22"/>
        </w:rPr>
      </w:pPr>
    </w:p>
    <w:p w14:paraId="5A9921AC" w14:textId="77777777" w:rsidR="00B23A65" w:rsidRPr="002F7D5B" w:rsidRDefault="00B23A65" w:rsidP="000F2732">
      <w:pPr>
        <w:tabs>
          <w:tab w:val="left" w:pos="720"/>
          <w:tab w:val="left" w:pos="1440"/>
          <w:tab w:val="left" w:pos="1710"/>
          <w:tab w:val="right" w:leader="dot" w:pos="9000"/>
        </w:tabs>
        <w:spacing w:line="360" w:lineRule="auto"/>
        <w:jc w:val="both"/>
        <w:rPr>
          <w:rFonts w:ascii="Arial" w:hAnsi="Arial" w:cs="Arial"/>
          <w:b/>
          <w:sz w:val="22"/>
          <w:szCs w:val="22"/>
        </w:rPr>
      </w:pPr>
    </w:p>
    <w:p w14:paraId="3FADAA36" w14:textId="77777777" w:rsidR="00322D5D" w:rsidRPr="002F7D5B" w:rsidRDefault="00322D5D" w:rsidP="000F2732">
      <w:pPr>
        <w:tabs>
          <w:tab w:val="left" w:pos="720"/>
          <w:tab w:val="left" w:pos="1440"/>
          <w:tab w:val="left" w:pos="1710"/>
          <w:tab w:val="right" w:leader="dot" w:pos="9000"/>
        </w:tabs>
        <w:spacing w:line="360" w:lineRule="auto"/>
        <w:jc w:val="both"/>
        <w:rPr>
          <w:rFonts w:ascii="Arial" w:hAnsi="Arial" w:cs="Arial"/>
          <w:b/>
          <w:sz w:val="22"/>
          <w:szCs w:val="22"/>
        </w:rPr>
      </w:pPr>
      <w:r w:rsidRPr="002F7D5B">
        <w:rPr>
          <w:rFonts w:ascii="Arial" w:hAnsi="Arial" w:cs="Arial"/>
          <w:b/>
          <w:sz w:val="22"/>
          <w:szCs w:val="22"/>
        </w:rPr>
        <w:t>CURRENT YEAR COMMENTS AND RECOMMENDATIONS – Other Matters</w:t>
      </w:r>
    </w:p>
    <w:p w14:paraId="0467B496" w14:textId="77777777" w:rsidR="00832FBF" w:rsidRPr="002F7D5B" w:rsidRDefault="00832FBF" w:rsidP="000F2732">
      <w:pPr>
        <w:tabs>
          <w:tab w:val="left" w:pos="720"/>
          <w:tab w:val="left" w:pos="1440"/>
          <w:tab w:val="left" w:pos="1710"/>
          <w:tab w:val="right" w:leader="dot" w:pos="9000"/>
        </w:tabs>
        <w:spacing w:line="360" w:lineRule="auto"/>
        <w:jc w:val="both"/>
        <w:rPr>
          <w:rFonts w:ascii="Arial" w:hAnsi="Arial" w:cs="Arial"/>
          <w:b/>
          <w:sz w:val="22"/>
          <w:szCs w:val="22"/>
        </w:rPr>
      </w:pPr>
    </w:p>
    <w:p w14:paraId="19877F3D" w14:textId="77777777" w:rsidR="000F2732" w:rsidRPr="002F7D5B" w:rsidRDefault="00930831" w:rsidP="00284A40">
      <w:pPr>
        <w:numPr>
          <w:ilvl w:val="3"/>
          <w:numId w:val="1"/>
        </w:numPr>
        <w:tabs>
          <w:tab w:val="clear" w:pos="2880"/>
          <w:tab w:val="num" w:pos="720"/>
          <w:tab w:val="left" w:pos="1440"/>
          <w:tab w:val="left" w:pos="1710"/>
          <w:tab w:val="right" w:leader="dot" w:pos="9180"/>
        </w:tabs>
        <w:spacing w:line="360" w:lineRule="auto"/>
        <w:ind w:left="720"/>
        <w:jc w:val="both"/>
        <w:rPr>
          <w:rFonts w:ascii="Arial" w:hAnsi="Arial" w:cs="Arial"/>
          <w:sz w:val="22"/>
          <w:szCs w:val="22"/>
        </w:rPr>
      </w:pPr>
      <w:r w:rsidRPr="002F7D5B">
        <w:rPr>
          <w:rFonts w:ascii="Arial" w:hAnsi="Arial" w:cs="Arial"/>
          <w:sz w:val="22"/>
          <w:szCs w:val="22"/>
        </w:rPr>
        <w:t>Improve Cash Reconciliations</w:t>
      </w:r>
      <w:r w:rsidR="005632BA" w:rsidRPr="002F7D5B">
        <w:rPr>
          <w:rFonts w:ascii="Arial" w:hAnsi="Arial" w:cs="Arial"/>
          <w:sz w:val="22"/>
          <w:szCs w:val="22"/>
        </w:rPr>
        <w:tab/>
      </w:r>
      <w:r w:rsidR="00520A6B" w:rsidRPr="002F7D5B">
        <w:rPr>
          <w:rFonts w:ascii="Arial" w:hAnsi="Arial" w:cs="Arial"/>
          <w:sz w:val="22"/>
          <w:szCs w:val="22"/>
        </w:rPr>
        <w:t>4</w:t>
      </w:r>
    </w:p>
    <w:p w14:paraId="7E290918" w14:textId="77777777" w:rsidR="00C17D7A" w:rsidRPr="002F7D5B" w:rsidRDefault="00930831" w:rsidP="00284A40">
      <w:pPr>
        <w:numPr>
          <w:ilvl w:val="0"/>
          <w:numId w:val="1"/>
        </w:numPr>
        <w:tabs>
          <w:tab w:val="right" w:leader="dot" w:pos="9180"/>
        </w:tabs>
        <w:spacing w:line="360" w:lineRule="auto"/>
        <w:jc w:val="both"/>
        <w:rPr>
          <w:rFonts w:ascii="Arial" w:hAnsi="Arial" w:cs="Arial"/>
          <w:sz w:val="22"/>
          <w:szCs w:val="22"/>
        </w:rPr>
      </w:pPr>
      <w:r w:rsidRPr="002F7D5B">
        <w:rPr>
          <w:rFonts w:ascii="Arial" w:hAnsi="Arial" w:cs="Arial"/>
          <w:sz w:val="22"/>
          <w:szCs w:val="22"/>
        </w:rPr>
        <w:t>Improve Tax Accounts Receivable</w:t>
      </w:r>
      <w:r w:rsidR="00C17D7A" w:rsidRPr="002F7D5B">
        <w:rPr>
          <w:rFonts w:ascii="Arial" w:hAnsi="Arial" w:cs="Arial"/>
          <w:sz w:val="22"/>
          <w:szCs w:val="22"/>
        </w:rPr>
        <w:tab/>
      </w:r>
      <w:r w:rsidR="001A6B9F">
        <w:rPr>
          <w:rFonts w:ascii="Arial" w:hAnsi="Arial" w:cs="Arial"/>
          <w:sz w:val="22"/>
          <w:szCs w:val="22"/>
        </w:rPr>
        <w:t>5</w:t>
      </w:r>
    </w:p>
    <w:p w14:paraId="2D31BAB4" w14:textId="7FD362D3" w:rsidR="00361A4E" w:rsidRPr="002F7D5B" w:rsidRDefault="00361A4E" w:rsidP="00361A4E">
      <w:pPr>
        <w:numPr>
          <w:ilvl w:val="0"/>
          <w:numId w:val="1"/>
        </w:numPr>
        <w:tabs>
          <w:tab w:val="right" w:leader="dot" w:pos="9180"/>
        </w:tabs>
        <w:spacing w:line="360" w:lineRule="auto"/>
        <w:jc w:val="both"/>
        <w:rPr>
          <w:rFonts w:ascii="Arial" w:hAnsi="Arial" w:cs="Arial"/>
          <w:sz w:val="22"/>
          <w:szCs w:val="22"/>
        </w:rPr>
      </w:pPr>
      <w:r>
        <w:rPr>
          <w:rFonts w:ascii="Arial" w:hAnsi="Arial" w:cs="Arial"/>
          <w:sz w:val="22"/>
          <w:szCs w:val="22"/>
        </w:rPr>
        <w:t>Deficits</w:t>
      </w:r>
      <w:r w:rsidRPr="002F7D5B">
        <w:rPr>
          <w:rFonts w:ascii="Arial" w:hAnsi="Arial" w:cs="Arial"/>
          <w:sz w:val="22"/>
          <w:szCs w:val="22"/>
        </w:rPr>
        <w:tab/>
      </w:r>
      <w:r>
        <w:rPr>
          <w:rFonts w:ascii="Arial" w:hAnsi="Arial" w:cs="Arial"/>
          <w:sz w:val="22"/>
          <w:szCs w:val="22"/>
        </w:rPr>
        <w:t>5</w:t>
      </w:r>
    </w:p>
    <w:p w14:paraId="074ED7EE" w14:textId="77777777" w:rsidR="005632BA" w:rsidRPr="002F7D5B" w:rsidRDefault="005632BA" w:rsidP="00284A40">
      <w:pPr>
        <w:pStyle w:val="BlockText"/>
        <w:numPr>
          <w:ilvl w:val="0"/>
          <w:numId w:val="1"/>
        </w:numPr>
        <w:tabs>
          <w:tab w:val="left" w:pos="990"/>
          <w:tab w:val="left" w:pos="1440"/>
          <w:tab w:val="right" w:leader="dot" w:pos="9180"/>
        </w:tabs>
        <w:spacing w:line="360" w:lineRule="auto"/>
        <w:ind w:right="810"/>
        <w:rPr>
          <w:rFonts w:cs="Arial"/>
          <w:szCs w:val="22"/>
        </w:rPr>
      </w:pPr>
      <w:r w:rsidRPr="002F7D5B">
        <w:rPr>
          <w:rFonts w:cs="Arial"/>
          <w:bCs/>
          <w:szCs w:val="22"/>
        </w:rPr>
        <w:t>Other Areas</w:t>
      </w:r>
      <w:r w:rsidRPr="002F7D5B">
        <w:rPr>
          <w:rFonts w:cs="Arial"/>
          <w:szCs w:val="22"/>
        </w:rPr>
        <w:tab/>
      </w:r>
      <w:r w:rsidR="001A6B9F">
        <w:rPr>
          <w:rFonts w:cs="Arial"/>
          <w:szCs w:val="22"/>
        </w:rPr>
        <w:t>5</w:t>
      </w:r>
    </w:p>
    <w:p w14:paraId="76BE82D3" w14:textId="77777777" w:rsidR="00322D5D" w:rsidRPr="002F7D5B" w:rsidRDefault="00322D5D" w:rsidP="00C8671B">
      <w:pPr>
        <w:tabs>
          <w:tab w:val="left" w:pos="6480"/>
        </w:tabs>
        <w:spacing w:line="360" w:lineRule="auto"/>
        <w:jc w:val="both"/>
        <w:rPr>
          <w:rFonts w:ascii="Arial" w:hAnsi="Arial" w:cs="Arial"/>
          <w:sz w:val="22"/>
          <w:szCs w:val="22"/>
        </w:rPr>
      </w:pPr>
    </w:p>
    <w:p w14:paraId="05ADCFCB" w14:textId="77777777" w:rsidR="00322D5D" w:rsidRPr="002F7D5B" w:rsidRDefault="00322D5D">
      <w:pPr>
        <w:jc w:val="both"/>
        <w:rPr>
          <w:rFonts w:ascii="Arial" w:hAnsi="Arial" w:cs="Arial"/>
          <w:sz w:val="22"/>
          <w:szCs w:val="22"/>
        </w:rPr>
      </w:pPr>
    </w:p>
    <w:p w14:paraId="78094B07" w14:textId="77777777" w:rsidR="00322D5D" w:rsidRPr="002F7D5B" w:rsidRDefault="00322D5D">
      <w:pPr>
        <w:jc w:val="both"/>
        <w:rPr>
          <w:rFonts w:ascii="Arial" w:hAnsi="Arial" w:cs="Arial"/>
          <w:b/>
          <w:bCs/>
          <w:sz w:val="22"/>
          <w:szCs w:val="22"/>
        </w:rPr>
      </w:pPr>
    </w:p>
    <w:p w14:paraId="179032CC" w14:textId="77777777" w:rsidR="00322D5D" w:rsidRPr="002F7D5B" w:rsidRDefault="00322D5D" w:rsidP="000D450C">
      <w:pPr>
        <w:ind w:hanging="360"/>
        <w:jc w:val="both"/>
        <w:rPr>
          <w:rFonts w:ascii="Arial" w:hAnsi="Arial" w:cs="Arial"/>
          <w:sz w:val="22"/>
          <w:szCs w:val="22"/>
        </w:rPr>
      </w:pPr>
      <w:r w:rsidRPr="002F7D5B">
        <w:rPr>
          <w:rFonts w:ascii="Arial" w:hAnsi="Arial" w:cs="Arial"/>
          <w:sz w:val="22"/>
          <w:szCs w:val="22"/>
        </w:rPr>
        <w:br w:type="page"/>
      </w:r>
      <w:r w:rsidR="007B028A">
        <w:rPr>
          <w:rFonts w:cs="Arial"/>
          <w:noProof/>
          <w:sz w:val="22"/>
          <w:szCs w:val="22"/>
        </w:rPr>
        <w:lastRenderedPageBreak/>
        <w:drawing>
          <wp:inline distT="0" distB="0" distL="0" distR="0" wp14:anchorId="1E213AB5" wp14:editId="7BD60226">
            <wp:extent cx="6315075" cy="1009650"/>
            <wp:effectExtent l="0" t="0" r="9525" b="0"/>
            <wp:docPr id="1" name="Picture 1" descr="Scanlo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lon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5075" cy="1009650"/>
                    </a:xfrm>
                    <a:prstGeom prst="rect">
                      <a:avLst/>
                    </a:prstGeom>
                    <a:noFill/>
                    <a:ln>
                      <a:noFill/>
                    </a:ln>
                  </pic:spPr>
                </pic:pic>
              </a:graphicData>
            </a:graphic>
          </wp:inline>
        </w:drawing>
      </w:r>
    </w:p>
    <w:p w14:paraId="11F97B47" w14:textId="77777777" w:rsidR="00322D5D" w:rsidRPr="002F7D5B" w:rsidRDefault="00322D5D">
      <w:pPr>
        <w:jc w:val="both"/>
        <w:rPr>
          <w:rFonts w:ascii="Arial" w:hAnsi="Arial" w:cs="Arial"/>
          <w:sz w:val="22"/>
          <w:szCs w:val="22"/>
        </w:rPr>
      </w:pPr>
    </w:p>
    <w:p w14:paraId="2AFB0AFE" w14:textId="77777777" w:rsidR="00930831" w:rsidRPr="002F7D5B" w:rsidRDefault="00930831">
      <w:pPr>
        <w:rPr>
          <w:rFonts w:ascii="Arial" w:hAnsi="Arial" w:cs="Arial"/>
          <w:sz w:val="22"/>
          <w:szCs w:val="22"/>
        </w:rPr>
      </w:pPr>
      <w:bookmarkStart w:id="0" w:name="OLE_LINK6"/>
    </w:p>
    <w:p w14:paraId="7BE16E96" w14:textId="77777777" w:rsidR="00322D5D" w:rsidRPr="002F7D5B" w:rsidRDefault="00322D5D">
      <w:pPr>
        <w:rPr>
          <w:rFonts w:ascii="Arial" w:hAnsi="Arial" w:cs="Arial"/>
          <w:sz w:val="22"/>
          <w:szCs w:val="22"/>
        </w:rPr>
      </w:pPr>
      <w:r w:rsidRPr="002F7D5B">
        <w:rPr>
          <w:rFonts w:ascii="Arial" w:hAnsi="Arial" w:cs="Arial"/>
          <w:sz w:val="22"/>
          <w:szCs w:val="22"/>
        </w:rPr>
        <w:t xml:space="preserve">To the Honorable Select Board </w:t>
      </w:r>
      <w:r w:rsidRPr="002F7D5B">
        <w:rPr>
          <w:rFonts w:ascii="Arial" w:hAnsi="Arial" w:cs="Arial"/>
          <w:sz w:val="22"/>
          <w:szCs w:val="22"/>
        </w:rPr>
        <w:br/>
        <w:t xml:space="preserve">Town of </w:t>
      </w:r>
      <w:r w:rsidR="009730F9" w:rsidRPr="002F7D5B">
        <w:rPr>
          <w:rFonts w:ascii="Arial" w:hAnsi="Arial" w:cs="Arial"/>
          <w:sz w:val="22"/>
          <w:szCs w:val="22"/>
        </w:rPr>
        <w:t>Colrain</w:t>
      </w:r>
    </w:p>
    <w:p w14:paraId="125C792A" w14:textId="77777777" w:rsidR="00322D5D" w:rsidRPr="002F7D5B" w:rsidRDefault="009730F9">
      <w:pPr>
        <w:jc w:val="both"/>
        <w:rPr>
          <w:rFonts w:ascii="Arial" w:hAnsi="Arial" w:cs="Arial"/>
          <w:sz w:val="22"/>
          <w:szCs w:val="22"/>
        </w:rPr>
      </w:pPr>
      <w:r w:rsidRPr="002F7D5B">
        <w:rPr>
          <w:rFonts w:ascii="Arial" w:hAnsi="Arial" w:cs="Arial"/>
          <w:sz w:val="22"/>
          <w:szCs w:val="22"/>
        </w:rPr>
        <w:t>Colrain</w:t>
      </w:r>
      <w:r w:rsidR="00322D5D" w:rsidRPr="002F7D5B">
        <w:rPr>
          <w:rFonts w:ascii="Arial" w:hAnsi="Arial" w:cs="Arial"/>
          <w:sz w:val="22"/>
          <w:szCs w:val="22"/>
        </w:rPr>
        <w:t>, Massachusetts</w:t>
      </w:r>
    </w:p>
    <w:p w14:paraId="00A0FFBA" w14:textId="77777777" w:rsidR="00322D5D" w:rsidRPr="002F7D5B" w:rsidRDefault="00322D5D">
      <w:pPr>
        <w:jc w:val="both"/>
        <w:rPr>
          <w:rFonts w:ascii="Arial" w:hAnsi="Arial" w:cs="Arial"/>
          <w:sz w:val="22"/>
          <w:szCs w:val="22"/>
        </w:rPr>
      </w:pPr>
    </w:p>
    <w:p w14:paraId="3B7F3047" w14:textId="77777777" w:rsidR="00322D5D" w:rsidRPr="002F7D5B" w:rsidRDefault="00322D5D">
      <w:pPr>
        <w:jc w:val="both"/>
        <w:rPr>
          <w:rFonts w:ascii="Arial" w:hAnsi="Arial" w:cs="Arial"/>
          <w:sz w:val="22"/>
          <w:szCs w:val="22"/>
        </w:rPr>
      </w:pPr>
      <w:r w:rsidRPr="002F7D5B">
        <w:rPr>
          <w:rFonts w:ascii="Arial" w:hAnsi="Arial" w:cs="Arial"/>
          <w:sz w:val="22"/>
          <w:szCs w:val="22"/>
        </w:rPr>
        <w:t>Dear Members of the Board:</w:t>
      </w:r>
    </w:p>
    <w:p w14:paraId="196BE5FE" w14:textId="77777777" w:rsidR="00322D5D" w:rsidRPr="002F7D5B" w:rsidRDefault="00322D5D">
      <w:pPr>
        <w:jc w:val="both"/>
        <w:rPr>
          <w:rFonts w:ascii="Arial" w:hAnsi="Arial" w:cs="Arial"/>
          <w:sz w:val="22"/>
          <w:szCs w:val="22"/>
        </w:rPr>
      </w:pPr>
    </w:p>
    <w:p w14:paraId="5B630A2D" w14:textId="4549D031" w:rsidR="00322D5D" w:rsidRPr="002F7D5B" w:rsidRDefault="00322D5D">
      <w:pPr>
        <w:pStyle w:val="PAParaText"/>
        <w:rPr>
          <w:rFonts w:cs="Arial"/>
          <w:sz w:val="22"/>
          <w:szCs w:val="22"/>
        </w:rPr>
      </w:pPr>
      <w:r w:rsidRPr="002F7D5B">
        <w:rPr>
          <w:rFonts w:cs="Arial"/>
          <w:sz w:val="22"/>
          <w:szCs w:val="22"/>
        </w:rPr>
        <w:t xml:space="preserve">In planning and performing our audit of the basic financial statements of the Town of </w:t>
      </w:r>
      <w:r w:rsidR="009730F9" w:rsidRPr="002F7D5B">
        <w:rPr>
          <w:rFonts w:cs="Arial"/>
          <w:sz w:val="22"/>
          <w:szCs w:val="22"/>
        </w:rPr>
        <w:t>Colrain</w:t>
      </w:r>
      <w:r w:rsidRPr="002F7D5B">
        <w:rPr>
          <w:rFonts w:cs="Arial"/>
          <w:sz w:val="22"/>
          <w:szCs w:val="22"/>
        </w:rPr>
        <w:t xml:space="preserve"> as of and for the year ended June 30, </w:t>
      </w:r>
      <w:r w:rsidR="009730F9" w:rsidRPr="002F7D5B">
        <w:rPr>
          <w:rFonts w:cs="Arial"/>
          <w:sz w:val="22"/>
          <w:szCs w:val="22"/>
        </w:rPr>
        <w:t>20</w:t>
      </w:r>
      <w:r w:rsidR="00DC0FE7">
        <w:rPr>
          <w:rFonts w:cs="Arial"/>
          <w:sz w:val="22"/>
          <w:szCs w:val="22"/>
        </w:rPr>
        <w:t>20</w:t>
      </w:r>
      <w:r w:rsidRPr="002F7D5B">
        <w:rPr>
          <w:rFonts w:cs="Arial"/>
          <w:sz w:val="22"/>
          <w:szCs w:val="22"/>
        </w:rPr>
        <w:t xml:space="preserve">, in accordance with auditing standards generally accepted in the United States of America, we considered the Town of </w:t>
      </w:r>
      <w:r w:rsidR="009730F9" w:rsidRPr="002F7D5B">
        <w:rPr>
          <w:rFonts w:cs="Arial"/>
          <w:sz w:val="22"/>
          <w:szCs w:val="22"/>
        </w:rPr>
        <w:t>Colrain</w:t>
      </w:r>
      <w:r w:rsidRPr="002F7D5B">
        <w:rPr>
          <w:rFonts w:cs="Arial"/>
          <w:sz w:val="22"/>
          <w:szCs w:val="22"/>
        </w:rPr>
        <w:t xml:space="preserve">’s internal accounting control over financial reporting (internal control) as a basis for designing our auditing procedures for the purpose of expressing our opinions on the basic financial statements, but not for the purpose of expressing an opinion on the effectiveness of the Town’s internal control. Accordingly, we do not express an opinion on the effectiveness of the Town’s internal control. </w:t>
      </w:r>
    </w:p>
    <w:p w14:paraId="018A5670" w14:textId="77777777" w:rsidR="00322D5D" w:rsidRPr="002F7D5B" w:rsidRDefault="00322D5D">
      <w:pPr>
        <w:pStyle w:val="PAParaText"/>
        <w:rPr>
          <w:rFonts w:cs="Arial"/>
          <w:sz w:val="22"/>
          <w:szCs w:val="22"/>
        </w:rPr>
      </w:pPr>
      <w:r w:rsidRPr="002F7D5B">
        <w:rPr>
          <w:rFonts w:cs="Arial"/>
          <w:sz w:val="22"/>
          <w:szCs w:val="22"/>
        </w:rPr>
        <w:t xml:space="preserve">A deficiency in internal control exists when the design or operation of a control does not allow management or employees, in the normal course of performing their assigned functions, to prevent, or detect and correct misstatements on a timely basis.  A significant deficiency is a deficiency, or combination of deficiencies, in internal control that is less severe than a material weakness, yet important enough to </w:t>
      </w:r>
      <w:r w:rsidR="0022369D" w:rsidRPr="002F7D5B">
        <w:rPr>
          <w:rFonts w:cs="Arial"/>
          <w:sz w:val="22"/>
          <w:szCs w:val="22"/>
        </w:rPr>
        <w:t>merit attention by those charged</w:t>
      </w:r>
      <w:r w:rsidRPr="002F7D5B">
        <w:rPr>
          <w:rFonts w:cs="Arial"/>
          <w:sz w:val="22"/>
          <w:szCs w:val="22"/>
        </w:rPr>
        <w:t xml:space="preserve"> with governance.</w:t>
      </w:r>
    </w:p>
    <w:p w14:paraId="3322C45B" w14:textId="77777777" w:rsidR="00322D5D" w:rsidRPr="002F7D5B" w:rsidRDefault="00322D5D">
      <w:pPr>
        <w:pStyle w:val="PAParaText"/>
        <w:rPr>
          <w:rFonts w:cs="Arial"/>
          <w:sz w:val="22"/>
          <w:szCs w:val="22"/>
        </w:rPr>
      </w:pPr>
      <w:r w:rsidRPr="002F7D5B">
        <w:rPr>
          <w:rFonts w:cs="Arial"/>
          <w:sz w:val="22"/>
          <w:szCs w:val="22"/>
        </w:rPr>
        <w:t>A material weakness is a deficiency, or a combination of deficiencies, in internal control such that there is a reasonable possibility that a material misstatement of the entity’s financial statements will not be prevented, or detected and corrected on a timely basis.</w:t>
      </w:r>
    </w:p>
    <w:p w14:paraId="57D39D57" w14:textId="77777777" w:rsidR="00322D5D" w:rsidRPr="002F7D5B" w:rsidRDefault="00322D5D">
      <w:pPr>
        <w:pStyle w:val="PAParaText"/>
        <w:rPr>
          <w:rFonts w:cs="Arial"/>
          <w:sz w:val="22"/>
          <w:szCs w:val="22"/>
        </w:rPr>
      </w:pPr>
      <w:r w:rsidRPr="002F7D5B">
        <w:rPr>
          <w:rFonts w:cs="Arial"/>
          <w:sz w:val="22"/>
          <w:szCs w:val="22"/>
        </w:rPr>
        <w:t>Our consideration of internal control over financial reporting was for the limited purpose described in the first paragraph and was not designed to identify all deficiencies in internal control over financial reporting that might be deficiencies, significant deficiencies, or material weaknesses.  We did not identify any deficiencies in internal control that we consider to be material weaknesses, as defined above.</w:t>
      </w:r>
    </w:p>
    <w:p w14:paraId="6C48067B" w14:textId="77777777" w:rsidR="00322D5D" w:rsidRPr="002F7D5B" w:rsidRDefault="00322D5D">
      <w:pPr>
        <w:pStyle w:val="PAParaText"/>
        <w:rPr>
          <w:rFonts w:cs="Arial"/>
          <w:sz w:val="22"/>
          <w:szCs w:val="22"/>
        </w:rPr>
      </w:pPr>
      <w:r w:rsidRPr="002F7D5B">
        <w:rPr>
          <w:rFonts w:cs="Arial"/>
          <w:sz w:val="22"/>
          <w:szCs w:val="22"/>
        </w:rPr>
        <w:t>However, during our audit, we became aware of several matters that are opportunities for strengthening internal controls and operating efficiency. We have already discussed these comments and suggestions with Town personnel.  We will be pleased to discuss them in further detail and to assist you in implementing the recommendations.</w:t>
      </w:r>
    </w:p>
    <w:p w14:paraId="222D862F" w14:textId="77777777" w:rsidR="00322D5D" w:rsidRPr="002F7D5B" w:rsidRDefault="00322D5D">
      <w:pPr>
        <w:pStyle w:val="BodyText2"/>
        <w:rPr>
          <w:szCs w:val="22"/>
        </w:rPr>
      </w:pPr>
      <w:r w:rsidRPr="002F7D5B">
        <w:rPr>
          <w:szCs w:val="22"/>
        </w:rPr>
        <w:t>This communication is intended solely for the information and use of management, the Select Board, others within the entity and the Commonwealth of Massachusetts Department of Revenue and is not intended to be and should not be used by anyone other than these specified parties.</w:t>
      </w:r>
    </w:p>
    <w:p w14:paraId="47818953" w14:textId="77777777" w:rsidR="000D450C" w:rsidRDefault="000D450C" w:rsidP="000D450C">
      <w:pPr>
        <w:rPr>
          <w:rFonts w:ascii="Segoe Script" w:hAnsi="Segoe Script"/>
          <w:b/>
          <w:sz w:val="28"/>
          <w:szCs w:val="28"/>
        </w:rPr>
      </w:pPr>
    </w:p>
    <w:p w14:paraId="4F7DFD3C" w14:textId="77777777" w:rsidR="00BC63CF" w:rsidRDefault="00BC63CF" w:rsidP="00BC63CF">
      <w:pPr>
        <w:rPr>
          <w:rFonts w:ascii="Segoe Script" w:hAnsi="Segoe Script"/>
          <w:b/>
          <w:sz w:val="28"/>
          <w:szCs w:val="28"/>
        </w:rPr>
      </w:pPr>
      <w:r>
        <w:rPr>
          <w:rFonts w:ascii="Segoe Script" w:hAnsi="Segoe Script"/>
          <w:b/>
          <w:sz w:val="28"/>
          <w:szCs w:val="28"/>
        </w:rPr>
        <w:t>Scanlon and Associates, LLC</w:t>
      </w:r>
    </w:p>
    <w:p w14:paraId="2F68B699" w14:textId="77777777" w:rsidR="00322D5D" w:rsidRPr="002F7D5B" w:rsidRDefault="00322D5D">
      <w:pPr>
        <w:pStyle w:val="PAParaText"/>
        <w:spacing w:after="0"/>
        <w:rPr>
          <w:rFonts w:cs="Arial"/>
          <w:sz w:val="22"/>
          <w:szCs w:val="22"/>
        </w:rPr>
      </w:pPr>
      <w:r w:rsidRPr="002F7D5B">
        <w:rPr>
          <w:rFonts w:cs="Arial"/>
          <w:sz w:val="22"/>
          <w:szCs w:val="22"/>
        </w:rPr>
        <w:t>Scanlon &amp; Associates, LLC</w:t>
      </w:r>
    </w:p>
    <w:p w14:paraId="5F31D037" w14:textId="77777777" w:rsidR="00F93384" w:rsidRPr="002F7D5B" w:rsidRDefault="00F93384">
      <w:pPr>
        <w:pStyle w:val="PAParaText"/>
        <w:spacing w:after="0"/>
        <w:rPr>
          <w:rFonts w:cs="Arial"/>
          <w:sz w:val="22"/>
          <w:szCs w:val="22"/>
        </w:rPr>
      </w:pPr>
      <w:r w:rsidRPr="002F7D5B">
        <w:rPr>
          <w:rFonts w:cs="Arial"/>
          <w:sz w:val="22"/>
          <w:szCs w:val="22"/>
        </w:rPr>
        <w:t>South Deerfield, Massachusetts</w:t>
      </w:r>
    </w:p>
    <w:p w14:paraId="150DB682" w14:textId="77777777" w:rsidR="00F93384" w:rsidRPr="002F7D5B" w:rsidRDefault="00F93384">
      <w:pPr>
        <w:pStyle w:val="PAParaText"/>
        <w:spacing w:after="0"/>
        <w:rPr>
          <w:rFonts w:cs="Arial"/>
          <w:sz w:val="22"/>
          <w:szCs w:val="22"/>
        </w:rPr>
      </w:pPr>
    </w:p>
    <w:p w14:paraId="4A1F5B9D" w14:textId="2D90C37B" w:rsidR="00322D5D" w:rsidRPr="002F7D5B" w:rsidRDefault="00DC0FE7" w:rsidP="000D450C">
      <w:pPr>
        <w:pStyle w:val="PAParaText"/>
        <w:spacing w:after="0" w:line="480" w:lineRule="auto"/>
        <w:rPr>
          <w:rFonts w:cs="Arial"/>
          <w:sz w:val="22"/>
          <w:szCs w:val="22"/>
        </w:rPr>
      </w:pPr>
      <w:r>
        <w:rPr>
          <w:rFonts w:cs="Arial"/>
          <w:sz w:val="22"/>
          <w:szCs w:val="22"/>
        </w:rPr>
        <w:t>April</w:t>
      </w:r>
      <w:r w:rsidR="00BC63CF">
        <w:rPr>
          <w:rFonts w:cs="Arial"/>
          <w:sz w:val="22"/>
          <w:szCs w:val="22"/>
        </w:rPr>
        <w:t xml:space="preserve"> </w:t>
      </w:r>
      <w:r>
        <w:rPr>
          <w:rFonts w:cs="Arial"/>
          <w:sz w:val="22"/>
          <w:szCs w:val="22"/>
        </w:rPr>
        <w:t>19</w:t>
      </w:r>
      <w:r w:rsidR="00322D5D" w:rsidRPr="002F7D5B">
        <w:rPr>
          <w:rFonts w:cs="Arial"/>
          <w:sz w:val="22"/>
          <w:szCs w:val="22"/>
        </w:rPr>
        <w:t>, 20</w:t>
      </w:r>
      <w:bookmarkEnd w:id="0"/>
      <w:r>
        <w:rPr>
          <w:rFonts w:cs="Arial"/>
          <w:sz w:val="22"/>
          <w:szCs w:val="22"/>
        </w:rPr>
        <w:t>21</w:t>
      </w:r>
    </w:p>
    <w:p w14:paraId="300A6D54" w14:textId="77777777" w:rsidR="00322D5D" w:rsidRPr="002F7D5B" w:rsidRDefault="00322D5D">
      <w:pPr>
        <w:pStyle w:val="Heading6"/>
        <w:tabs>
          <w:tab w:val="left" w:pos="720"/>
          <w:tab w:val="left" w:pos="1440"/>
          <w:tab w:val="left" w:pos="1710"/>
          <w:tab w:val="right" w:leader="dot" w:pos="8550"/>
        </w:tabs>
        <w:spacing w:line="360" w:lineRule="auto"/>
        <w:jc w:val="both"/>
        <w:rPr>
          <w:rFonts w:cs="Arial"/>
          <w:bCs w:val="0"/>
          <w:sz w:val="22"/>
          <w:szCs w:val="22"/>
        </w:rPr>
      </w:pPr>
      <w:r w:rsidRPr="002F7D5B">
        <w:rPr>
          <w:rFonts w:cs="Arial"/>
          <w:bCs w:val="0"/>
          <w:sz w:val="22"/>
          <w:szCs w:val="22"/>
        </w:rPr>
        <w:lastRenderedPageBreak/>
        <w:t>CURRENT YEAR COMMENTS AND RECOMMENDATIONS – Other Matters</w:t>
      </w:r>
    </w:p>
    <w:p w14:paraId="1B10FA72" w14:textId="77777777" w:rsidR="00AF1B14" w:rsidRPr="002F7D5B" w:rsidRDefault="00AF1B14" w:rsidP="00AF1B14">
      <w:pPr>
        <w:rPr>
          <w:rFonts w:ascii="Arial" w:hAnsi="Arial" w:cs="Arial"/>
          <w:sz w:val="22"/>
          <w:szCs w:val="22"/>
        </w:rPr>
      </w:pPr>
    </w:p>
    <w:p w14:paraId="7564B377" w14:textId="77777777" w:rsidR="0099776C" w:rsidRPr="002F7D5B" w:rsidRDefault="0099776C" w:rsidP="00AF1B14">
      <w:pPr>
        <w:rPr>
          <w:rFonts w:ascii="Arial" w:hAnsi="Arial" w:cs="Arial"/>
          <w:sz w:val="22"/>
          <w:szCs w:val="22"/>
        </w:rPr>
      </w:pPr>
    </w:p>
    <w:p w14:paraId="3345C415" w14:textId="77777777" w:rsidR="009730F9" w:rsidRPr="002F7D5B" w:rsidRDefault="009730F9" w:rsidP="00284A40">
      <w:pPr>
        <w:pStyle w:val="ListParagraph"/>
        <w:numPr>
          <w:ilvl w:val="0"/>
          <w:numId w:val="2"/>
        </w:numPr>
        <w:tabs>
          <w:tab w:val="left" w:pos="720"/>
        </w:tabs>
        <w:spacing w:after="200" w:line="276" w:lineRule="auto"/>
        <w:contextualSpacing/>
        <w:rPr>
          <w:rFonts w:ascii="Arial" w:hAnsi="Arial" w:cs="Arial"/>
          <w:b/>
          <w:sz w:val="22"/>
          <w:szCs w:val="22"/>
        </w:rPr>
      </w:pPr>
      <w:r w:rsidRPr="002F7D5B">
        <w:rPr>
          <w:rFonts w:ascii="Arial" w:hAnsi="Arial" w:cs="Arial"/>
          <w:b/>
          <w:sz w:val="22"/>
          <w:szCs w:val="22"/>
        </w:rPr>
        <w:t>Improve Cash Reconciliations</w:t>
      </w:r>
    </w:p>
    <w:p w14:paraId="16802A2E" w14:textId="77777777" w:rsidR="002B035D" w:rsidRPr="002B035D" w:rsidRDefault="002B035D" w:rsidP="002B035D">
      <w:pPr>
        <w:ind w:left="360"/>
        <w:rPr>
          <w:rFonts w:ascii="Arial" w:hAnsi="Arial" w:cs="Arial"/>
          <w:sz w:val="22"/>
          <w:szCs w:val="22"/>
        </w:rPr>
      </w:pPr>
      <w:r w:rsidRPr="002B035D">
        <w:rPr>
          <w:rFonts w:ascii="Arial" w:hAnsi="Arial" w:cs="Arial"/>
          <w:i/>
          <w:iCs/>
          <w:sz w:val="22"/>
          <w:szCs w:val="22"/>
          <w:u w:val="single"/>
        </w:rPr>
        <w:t>Comment:</w:t>
      </w:r>
    </w:p>
    <w:p w14:paraId="4DDEE44D" w14:textId="77777777" w:rsidR="002B035D" w:rsidRPr="00741FFB" w:rsidRDefault="002B035D" w:rsidP="002B035D">
      <w:pPr>
        <w:pStyle w:val="Heading1"/>
        <w:ind w:left="360"/>
        <w:jc w:val="both"/>
        <w:rPr>
          <w:rFonts w:cs="Arial"/>
          <w:b w:val="0"/>
          <w:bCs w:val="0"/>
          <w:szCs w:val="22"/>
        </w:rPr>
      </w:pPr>
      <w:r w:rsidRPr="00741FFB">
        <w:rPr>
          <w:rFonts w:cs="Arial"/>
          <w:b w:val="0"/>
          <w:bCs w:val="0"/>
          <w:szCs w:val="22"/>
        </w:rPr>
        <w:t xml:space="preserve">The Treasurer’s office and Accountant’s office is responsible to complete timely reconciliations of activity and balances of the cash. We cannot emphasize enough the importance of the timely and accurate reconciliations of cash in order to have an effective system of internal controls. </w:t>
      </w:r>
    </w:p>
    <w:p w14:paraId="7AE943A6" w14:textId="77777777" w:rsidR="002B035D" w:rsidRPr="00741FFB" w:rsidRDefault="002B035D" w:rsidP="002B035D">
      <w:pPr>
        <w:ind w:left="360"/>
        <w:rPr>
          <w:rFonts w:ascii="Arial" w:hAnsi="Arial" w:cs="Arial"/>
          <w:sz w:val="22"/>
          <w:szCs w:val="22"/>
        </w:rPr>
      </w:pPr>
    </w:p>
    <w:p w14:paraId="61D523CD" w14:textId="77777777" w:rsidR="002B035D" w:rsidRPr="00741FFB" w:rsidRDefault="002B035D" w:rsidP="002B035D">
      <w:pPr>
        <w:pStyle w:val="BodyText2"/>
        <w:ind w:left="360"/>
        <w:rPr>
          <w:szCs w:val="22"/>
        </w:rPr>
      </w:pPr>
      <w:r w:rsidRPr="00741FFB">
        <w:rPr>
          <w:szCs w:val="22"/>
        </w:rPr>
        <w:t>Internal control procedures should be designed in a manner that ensures all activity is recorded in the cashbook prepared by the Treasurer as the transactions occur.  At the same time as the activity is being posted to the cashbook a corresponding posting would be made to the general ledger maintained by the Accountant’s office.  The cashbook balance and the general ledger cash balance must match at all times.  At the end of each month the Treasurer would complete a reconciliation between the cashbook and the individual bank statements.  The Treasurer and Accountant would then reconcile the cashbook and the general ledger shortly thereafter.</w:t>
      </w:r>
    </w:p>
    <w:p w14:paraId="48CB49E9" w14:textId="77777777" w:rsidR="002B035D" w:rsidRPr="00741FFB" w:rsidRDefault="002B035D" w:rsidP="002B035D">
      <w:pPr>
        <w:pStyle w:val="BodyText2"/>
        <w:ind w:left="360"/>
        <w:rPr>
          <w:szCs w:val="22"/>
        </w:rPr>
      </w:pPr>
    </w:p>
    <w:p w14:paraId="39DF52B3" w14:textId="77777777" w:rsidR="002B035D" w:rsidRPr="00741FFB" w:rsidRDefault="002B035D" w:rsidP="002B035D">
      <w:pPr>
        <w:tabs>
          <w:tab w:val="left" w:pos="900"/>
        </w:tabs>
        <w:ind w:left="360"/>
        <w:jc w:val="both"/>
        <w:rPr>
          <w:rFonts w:ascii="Arial" w:hAnsi="Arial" w:cs="Arial"/>
          <w:sz w:val="22"/>
          <w:szCs w:val="22"/>
        </w:rPr>
      </w:pPr>
      <w:r w:rsidRPr="00741FFB">
        <w:rPr>
          <w:rFonts w:ascii="Arial" w:hAnsi="Arial" w:cs="Arial"/>
          <w:sz w:val="22"/>
          <w:szCs w:val="22"/>
        </w:rPr>
        <w:t xml:space="preserve">During our audit we noted the following regarding the </w:t>
      </w:r>
      <w:r>
        <w:rPr>
          <w:rFonts w:ascii="Arial" w:hAnsi="Arial" w:cs="Arial"/>
          <w:sz w:val="22"/>
          <w:szCs w:val="22"/>
        </w:rPr>
        <w:t>c</w:t>
      </w:r>
      <w:r w:rsidRPr="00741FFB">
        <w:rPr>
          <w:rFonts w:ascii="Arial" w:hAnsi="Arial" w:cs="Arial"/>
          <w:sz w:val="22"/>
          <w:szCs w:val="22"/>
        </w:rPr>
        <w:t xml:space="preserve">ash reconciliation process: </w:t>
      </w:r>
    </w:p>
    <w:p w14:paraId="47747BD0" w14:textId="77777777" w:rsidR="002B035D" w:rsidRPr="00741FFB" w:rsidRDefault="002B035D" w:rsidP="002B035D">
      <w:pPr>
        <w:pStyle w:val="BodyText2"/>
        <w:rPr>
          <w:bCs/>
          <w:szCs w:val="22"/>
        </w:rPr>
      </w:pPr>
    </w:p>
    <w:p w14:paraId="5ABEABC9" w14:textId="2A48CD52" w:rsidR="002B035D" w:rsidRPr="00B84FCA" w:rsidRDefault="002B035D" w:rsidP="00284A40">
      <w:pPr>
        <w:pStyle w:val="BodyText2"/>
        <w:numPr>
          <w:ilvl w:val="0"/>
          <w:numId w:val="5"/>
        </w:numPr>
        <w:rPr>
          <w:bCs/>
          <w:szCs w:val="22"/>
        </w:rPr>
      </w:pPr>
      <w:r w:rsidRPr="00B84FCA">
        <w:rPr>
          <w:szCs w:val="22"/>
        </w:rPr>
        <w:t>As of June 30, 20</w:t>
      </w:r>
      <w:r w:rsidR="00DC0FE7">
        <w:rPr>
          <w:szCs w:val="22"/>
        </w:rPr>
        <w:t>20</w:t>
      </w:r>
      <w:r w:rsidRPr="00B84FCA">
        <w:rPr>
          <w:szCs w:val="22"/>
        </w:rPr>
        <w:t xml:space="preserve"> we noted that a variance of $4</w:t>
      </w:r>
      <w:r w:rsidR="00223806">
        <w:rPr>
          <w:szCs w:val="22"/>
        </w:rPr>
        <w:t>,629</w:t>
      </w:r>
      <w:r w:rsidRPr="00B84FCA">
        <w:rPr>
          <w:szCs w:val="22"/>
        </w:rPr>
        <w:t xml:space="preserve"> exists between the Treasurer’s records and the Accountant’s general ledger. </w:t>
      </w:r>
      <w:r w:rsidR="00BA17F7" w:rsidRPr="005901C1">
        <w:rPr>
          <w:szCs w:val="22"/>
        </w:rPr>
        <w:t>Furthermore, we could not locate any supporting documentation to indicate the variance remained the same every month or the variances were being reviewed and researched.</w:t>
      </w:r>
      <w:r w:rsidR="00BA17F7">
        <w:rPr>
          <w:szCs w:val="22"/>
        </w:rPr>
        <w:t xml:space="preserve"> </w:t>
      </w:r>
      <w:r w:rsidRPr="00B84FCA">
        <w:rPr>
          <w:szCs w:val="22"/>
        </w:rPr>
        <w:t xml:space="preserve">The Treasurer’s balance was higher than the Town’s general ledger balance. </w:t>
      </w:r>
    </w:p>
    <w:p w14:paraId="5FD113F6" w14:textId="77777777" w:rsidR="00B84FCA" w:rsidRPr="00B84FCA" w:rsidRDefault="00B84FCA" w:rsidP="00B84FCA">
      <w:pPr>
        <w:pStyle w:val="BodyText2"/>
        <w:ind w:left="1080"/>
        <w:rPr>
          <w:bCs/>
          <w:szCs w:val="22"/>
        </w:rPr>
      </w:pPr>
    </w:p>
    <w:p w14:paraId="72F7AB51" w14:textId="5EFD5B09" w:rsidR="002B035D" w:rsidRDefault="002B035D" w:rsidP="00284A40">
      <w:pPr>
        <w:pStyle w:val="BodyText2"/>
        <w:numPr>
          <w:ilvl w:val="0"/>
          <w:numId w:val="6"/>
        </w:numPr>
        <w:rPr>
          <w:szCs w:val="22"/>
        </w:rPr>
      </w:pPr>
      <w:r w:rsidRPr="00D26BBA">
        <w:rPr>
          <w:szCs w:val="22"/>
        </w:rPr>
        <w:t xml:space="preserve">Individual bank statement reconciliations were not being </w:t>
      </w:r>
      <w:r w:rsidR="00BA17F7">
        <w:rPr>
          <w:szCs w:val="22"/>
        </w:rPr>
        <w:t xml:space="preserve">timely and </w:t>
      </w:r>
      <w:r w:rsidRPr="00D26BBA">
        <w:rPr>
          <w:szCs w:val="22"/>
        </w:rPr>
        <w:t>properly reconciled to the cashbook</w:t>
      </w:r>
      <w:r w:rsidR="00FA06D7">
        <w:rPr>
          <w:szCs w:val="22"/>
        </w:rPr>
        <w:t xml:space="preserve"> through-out the fiscal year</w:t>
      </w:r>
      <w:r w:rsidRPr="00D26BBA">
        <w:rPr>
          <w:szCs w:val="22"/>
        </w:rPr>
        <w:t>. Various reconciling items either could not be located or were not supported by proper backup documentation.</w:t>
      </w:r>
      <w:r w:rsidR="00223806">
        <w:rPr>
          <w:szCs w:val="22"/>
        </w:rPr>
        <w:t xml:space="preserve"> Furthermore, </w:t>
      </w:r>
      <w:r w:rsidR="00BA17F7">
        <w:rPr>
          <w:szCs w:val="22"/>
        </w:rPr>
        <w:t>we noted improvements can be made to the treasurer’s cashbook and have communicated these during our fieldwork.</w:t>
      </w:r>
    </w:p>
    <w:p w14:paraId="169ACEA6" w14:textId="77777777" w:rsidR="00857539" w:rsidRDefault="00857539" w:rsidP="00857539">
      <w:pPr>
        <w:pStyle w:val="BodyText2"/>
        <w:ind w:left="1080"/>
        <w:rPr>
          <w:szCs w:val="22"/>
        </w:rPr>
      </w:pPr>
    </w:p>
    <w:p w14:paraId="5EBA486D" w14:textId="77777777" w:rsidR="002B035D" w:rsidRPr="00741FFB" w:rsidRDefault="002B035D" w:rsidP="002B035D">
      <w:pPr>
        <w:ind w:left="360"/>
        <w:jc w:val="both"/>
        <w:rPr>
          <w:rFonts w:ascii="Arial" w:hAnsi="Arial" w:cs="Arial"/>
          <w:sz w:val="22"/>
          <w:szCs w:val="22"/>
        </w:rPr>
      </w:pPr>
      <w:r w:rsidRPr="00741FFB">
        <w:rPr>
          <w:rFonts w:ascii="Arial" w:hAnsi="Arial" w:cs="Arial"/>
          <w:sz w:val="22"/>
          <w:szCs w:val="22"/>
        </w:rPr>
        <w:t>The absence of having timely and proper cash reconciliations significantly increases the risk that misstatement due to error or fraud may occur and not be detected,</w:t>
      </w:r>
      <w:r w:rsidRPr="00741FFB">
        <w:rPr>
          <w:rFonts w:ascii="Arial" w:hAnsi="Arial" w:cs="Arial"/>
          <w:b/>
          <w:bCs/>
          <w:sz w:val="22"/>
          <w:szCs w:val="22"/>
        </w:rPr>
        <w:t xml:space="preserve"> </w:t>
      </w:r>
      <w:r w:rsidRPr="00741FFB">
        <w:rPr>
          <w:rFonts w:ascii="Arial" w:hAnsi="Arial" w:cs="Arial"/>
          <w:sz w:val="22"/>
          <w:szCs w:val="22"/>
        </w:rPr>
        <w:t xml:space="preserve">prohibits the safeguarding of assets and does not provide for accurate and timely financial reporting. </w:t>
      </w:r>
    </w:p>
    <w:p w14:paraId="2B796DFE" w14:textId="77777777" w:rsidR="002B035D" w:rsidRPr="00741FFB" w:rsidRDefault="002B035D" w:rsidP="002B035D">
      <w:pPr>
        <w:pStyle w:val="BodyText2"/>
        <w:rPr>
          <w:b/>
          <w:bCs/>
          <w:szCs w:val="22"/>
        </w:rPr>
      </w:pPr>
    </w:p>
    <w:p w14:paraId="2DE5BDF9" w14:textId="77777777" w:rsidR="002B035D" w:rsidRPr="001C7338" w:rsidRDefault="002B035D" w:rsidP="002B035D">
      <w:pPr>
        <w:pStyle w:val="BodyText2"/>
        <w:ind w:left="360"/>
        <w:rPr>
          <w:szCs w:val="22"/>
        </w:rPr>
      </w:pPr>
      <w:r w:rsidRPr="00741FFB">
        <w:rPr>
          <w:szCs w:val="22"/>
        </w:rPr>
        <w:t>We cannot emphasize enough the importance of the timely reconciliation of cash in order to have an effective system of internal controls. We strongly recommend management closely monitor this situation to insure that cash is reconciled in a timely manner between the treasurer’s records and the town accountant general ledger.</w:t>
      </w:r>
      <w:r w:rsidRPr="00902C9C">
        <w:rPr>
          <w:szCs w:val="22"/>
        </w:rPr>
        <w:t xml:space="preserve"> </w:t>
      </w:r>
    </w:p>
    <w:p w14:paraId="61B5BAF1" w14:textId="77777777" w:rsidR="002B035D" w:rsidRPr="00741FFB" w:rsidRDefault="002B035D" w:rsidP="002B035D">
      <w:pPr>
        <w:pStyle w:val="BodyText2"/>
        <w:ind w:left="360"/>
        <w:rPr>
          <w:szCs w:val="22"/>
        </w:rPr>
      </w:pPr>
    </w:p>
    <w:p w14:paraId="13D1A651" w14:textId="77777777" w:rsidR="005D35DC" w:rsidRPr="002F7D5B" w:rsidRDefault="005D35DC" w:rsidP="00AF1B14">
      <w:pPr>
        <w:pStyle w:val="BlockText"/>
        <w:tabs>
          <w:tab w:val="left" w:pos="8640"/>
        </w:tabs>
        <w:ind w:left="0" w:right="360"/>
        <w:rPr>
          <w:rFonts w:cs="Arial"/>
          <w:bCs/>
          <w:szCs w:val="22"/>
        </w:rPr>
      </w:pPr>
    </w:p>
    <w:p w14:paraId="6CE62114" w14:textId="77777777" w:rsidR="00B84FCA" w:rsidRDefault="00B84FCA">
      <w:pPr>
        <w:rPr>
          <w:rFonts w:ascii="Arial" w:hAnsi="Arial" w:cs="Arial"/>
          <w:b/>
          <w:bCs/>
          <w:sz w:val="22"/>
          <w:szCs w:val="22"/>
        </w:rPr>
      </w:pPr>
      <w:r>
        <w:rPr>
          <w:rFonts w:cs="Arial"/>
          <w:szCs w:val="22"/>
        </w:rPr>
        <w:br w:type="page"/>
      </w:r>
    </w:p>
    <w:p w14:paraId="538FEA2F" w14:textId="77777777" w:rsidR="009730F9" w:rsidRPr="002F7D5B" w:rsidRDefault="009730F9" w:rsidP="00284A40">
      <w:pPr>
        <w:pStyle w:val="Heading1"/>
        <w:numPr>
          <w:ilvl w:val="0"/>
          <w:numId w:val="3"/>
        </w:numPr>
        <w:tabs>
          <w:tab w:val="clear" w:pos="2880"/>
          <w:tab w:val="num" w:pos="720"/>
        </w:tabs>
        <w:ind w:hanging="2520"/>
        <w:rPr>
          <w:rFonts w:cs="Arial"/>
          <w:szCs w:val="22"/>
        </w:rPr>
      </w:pPr>
      <w:r w:rsidRPr="002F7D5B">
        <w:rPr>
          <w:rFonts w:cs="Arial"/>
          <w:szCs w:val="22"/>
        </w:rPr>
        <w:lastRenderedPageBreak/>
        <w:t xml:space="preserve">Improve Reconciliation of Tax Accounts Receivable </w:t>
      </w:r>
    </w:p>
    <w:p w14:paraId="5317F8E5" w14:textId="77777777" w:rsidR="009730F9" w:rsidRPr="002F7D5B" w:rsidRDefault="009730F9" w:rsidP="009730F9">
      <w:pPr>
        <w:rPr>
          <w:rFonts w:ascii="Arial" w:hAnsi="Arial" w:cs="Arial"/>
          <w:sz w:val="22"/>
          <w:szCs w:val="22"/>
        </w:rPr>
      </w:pPr>
    </w:p>
    <w:p w14:paraId="59B451A4" w14:textId="77777777" w:rsidR="009730F9" w:rsidRPr="002F7D5B" w:rsidRDefault="009730F9" w:rsidP="009730F9">
      <w:pPr>
        <w:ind w:left="360"/>
        <w:rPr>
          <w:rFonts w:ascii="Arial" w:hAnsi="Arial" w:cs="Arial"/>
          <w:sz w:val="22"/>
          <w:szCs w:val="22"/>
        </w:rPr>
      </w:pPr>
      <w:r w:rsidRPr="002F7D5B">
        <w:rPr>
          <w:rFonts w:ascii="Arial" w:hAnsi="Arial" w:cs="Arial"/>
          <w:i/>
          <w:iCs/>
          <w:sz w:val="22"/>
          <w:szCs w:val="22"/>
          <w:u w:val="single"/>
        </w:rPr>
        <w:t>Comment:</w:t>
      </w:r>
    </w:p>
    <w:p w14:paraId="75ACE25B" w14:textId="691EF07E" w:rsidR="009730F9" w:rsidRPr="002F7D5B" w:rsidRDefault="009730F9" w:rsidP="009730F9">
      <w:pPr>
        <w:pStyle w:val="BodyText2"/>
        <w:ind w:left="360"/>
        <w:rPr>
          <w:szCs w:val="22"/>
        </w:rPr>
      </w:pPr>
      <w:r w:rsidRPr="002F7D5B">
        <w:rPr>
          <w:szCs w:val="22"/>
        </w:rPr>
        <w:t xml:space="preserve">One of the most important control procedures in a government is to have timely and proper reconciliation of the tax accounts receivable subsidiary records and the Town’s general ledger. During our audit we noted that the Town </w:t>
      </w:r>
      <w:r w:rsidR="00B84FCA">
        <w:rPr>
          <w:szCs w:val="22"/>
        </w:rPr>
        <w:t>d</w:t>
      </w:r>
      <w:r w:rsidR="00040BBA">
        <w:rPr>
          <w:szCs w:val="22"/>
        </w:rPr>
        <w:t>oes</w:t>
      </w:r>
      <w:r w:rsidR="00B84FCA">
        <w:rPr>
          <w:szCs w:val="22"/>
        </w:rPr>
        <w:t xml:space="preserve"> have </w:t>
      </w:r>
      <w:r w:rsidRPr="002F7D5B">
        <w:rPr>
          <w:szCs w:val="22"/>
        </w:rPr>
        <w:t xml:space="preserve">procedures in place to reconcile the general ledger to account receivable records. </w:t>
      </w:r>
      <w:r w:rsidR="00857539">
        <w:rPr>
          <w:szCs w:val="22"/>
        </w:rPr>
        <w:t xml:space="preserve">However, we noted improvements can be made, specifically with timeliness and frequency of the reconciliations. </w:t>
      </w:r>
      <w:r w:rsidRPr="002F7D5B">
        <w:rPr>
          <w:szCs w:val="22"/>
        </w:rPr>
        <w:t xml:space="preserve">During </w:t>
      </w:r>
      <w:r w:rsidR="00857539">
        <w:rPr>
          <w:szCs w:val="22"/>
        </w:rPr>
        <w:t xml:space="preserve">our </w:t>
      </w:r>
      <w:r w:rsidRPr="002F7D5B">
        <w:rPr>
          <w:szCs w:val="22"/>
        </w:rPr>
        <w:t xml:space="preserve">fieldwork we </w:t>
      </w:r>
      <w:r w:rsidR="00857539">
        <w:rPr>
          <w:szCs w:val="22"/>
        </w:rPr>
        <w:t xml:space="preserve">noted a number of journal entries that were made at year-end for items that were incorrectly reported to the general ledger related to collections, abatements and commitments that </w:t>
      </w:r>
      <w:r w:rsidR="00040BBA">
        <w:rPr>
          <w:szCs w:val="22"/>
        </w:rPr>
        <w:t>happened</w:t>
      </w:r>
      <w:r w:rsidR="00857539">
        <w:rPr>
          <w:szCs w:val="22"/>
        </w:rPr>
        <w:t xml:space="preserve"> through</w:t>
      </w:r>
      <w:r w:rsidR="00040BBA">
        <w:rPr>
          <w:szCs w:val="22"/>
        </w:rPr>
        <w:t>o</w:t>
      </w:r>
      <w:r w:rsidR="00857539">
        <w:rPr>
          <w:szCs w:val="22"/>
        </w:rPr>
        <w:t>ut the fiscal year.</w:t>
      </w:r>
      <w:r w:rsidRPr="002F7D5B">
        <w:rPr>
          <w:szCs w:val="22"/>
        </w:rPr>
        <w:t xml:space="preserve"> </w:t>
      </w:r>
    </w:p>
    <w:p w14:paraId="0474BED7" w14:textId="77777777" w:rsidR="009730F9" w:rsidRPr="002F7D5B" w:rsidRDefault="009730F9" w:rsidP="009730F9">
      <w:pPr>
        <w:pStyle w:val="BodyText2"/>
        <w:ind w:left="360"/>
        <w:rPr>
          <w:szCs w:val="22"/>
        </w:rPr>
      </w:pPr>
    </w:p>
    <w:p w14:paraId="07CCDA2C" w14:textId="60A87D33" w:rsidR="002B5061" w:rsidRDefault="00144637" w:rsidP="002B5061">
      <w:pPr>
        <w:pStyle w:val="BodyText2"/>
        <w:tabs>
          <w:tab w:val="left" w:pos="720"/>
        </w:tabs>
        <w:ind w:left="360"/>
        <w:rPr>
          <w:szCs w:val="22"/>
        </w:rPr>
      </w:pPr>
      <w:r w:rsidRPr="003964F2">
        <w:rPr>
          <w:szCs w:val="22"/>
        </w:rPr>
        <w:t xml:space="preserve">We recommend </w:t>
      </w:r>
      <w:r w:rsidR="00040BBA">
        <w:rPr>
          <w:szCs w:val="22"/>
        </w:rPr>
        <w:t xml:space="preserve">reconciliation </w:t>
      </w:r>
      <w:r w:rsidRPr="003964F2">
        <w:rPr>
          <w:szCs w:val="22"/>
        </w:rPr>
        <w:t xml:space="preserve">procedures </w:t>
      </w:r>
      <w:r w:rsidR="00040BBA">
        <w:rPr>
          <w:szCs w:val="22"/>
        </w:rPr>
        <w:t>be implemented more frequently throughout the year.</w:t>
      </w:r>
    </w:p>
    <w:p w14:paraId="58DA7225" w14:textId="77777777" w:rsidR="002B5061" w:rsidRDefault="002B5061" w:rsidP="002B5061">
      <w:pPr>
        <w:pStyle w:val="BodyText2"/>
        <w:tabs>
          <w:tab w:val="left" w:pos="720"/>
        </w:tabs>
        <w:ind w:left="360"/>
        <w:rPr>
          <w:szCs w:val="22"/>
        </w:rPr>
      </w:pPr>
    </w:p>
    <w:p w14:paraId="4F59DD11" w14:textId="77777777" w:rsidR="002B5061" w:rsidRDefault="002B5061" w:rsidP="002B5061">
      <w:pPr>
        <w:pStyle w:val="BodyText2"/>
        <w:tabs>
          <w:tab w:val="left" w:pos="720"/>
        </w:tabs>
        <w:ind w:left="360"/>
        <w:rPr>
          <w:szCs w:val="22"/>
        </w:rPr>
      </w:pPr>
    </w:p>
    <w:p w14:paraId="66D098BC" w14:textId="77777777" w:rsidR="00E13C10" w:rsidRPr="00E13C10" w:rsidRDefault="00E13C10" w:rsidP="00284A40">
      <w:pPr>
        <w:pStyle w:val="ListParagraph"/>
        <w:keepNext/>
        <w:numPr>
          <w:ilvl w:val="0"/>
          <w:numId w:val="7"/>
        </w:numPr>
        <w:outlineLvl w:val="5"/>
        <w:rPr>
          <w:rFonts w:ascii="Arial" w:hAnsi="Arial" w:cs="Arial"/>
          <w:b/>
          <w:bCs/>
          <w:sz w:val="22"/>
          <w:szCs w:val="22"/>
        </w:rPr>
      </w:pPr>
      <w:r w:rsidRPr="00E13C10">
        <w:rPr>
          <w:rFonts w:ascii="Arial" w:hAnsi="Arial" w:cs="Arial"/>
          <w:b/>
          <w:bCs/>
          <w:sz w:val="22"/>
          <w:szCs w:val="22"/>
        </w:rPr>
        <w:t xml:space="preserve">Deficit Accounts </w:t>
      </w:r>
    </w:p>
    <w:p w14:paraId="6B80574F" w14:textId="77777777" w:rsidR="00E13C10" w:rsidRPr="004B135B" w:rsidRDefault="00E13C10" w:rsidP="00E13C10">
      <w:pPr>
        <w:rPr>
          <w:rFonts w:ascii="Arial" w:hAnsi="Arial" w:cs="Arial"/>
          <w:b/>
          <w:bCs/>
          <w:sz w:val="22"/>
          <w:szCs w:val="22"/>
          <w:u w:val="single"/>
        </w:rPr>
      </w:pPr>
    </w:p>
    <w:p w14:paraId="35A26AEF" w14:textId="77777777" w:rsidR="00E13C10" w:rsidRPr="004B135B" w:rsidRDefault="00E13C10" w:rsidP="00E13C10">
      <w:pPr>
        <w:ind w:firstLine="360"/>
        <w:jc w:val="both"/>
        <w:rPr>
          <w:rFonts w:ascii="Arial" w:hAnsi="Arial" w:cs="Arial"/>
          <w:sz w:val="22"/>
          <w:szCs w:val="22"/>
        </w:rPr>
      </w:pPr>
      <w:r w:rsidRPr="004B135B">
        <w:rPr>
          <w:rFonts w:ascii="Arial" w:hAnsi="Arial" w:cs="Arial"/>
          <w:i/>
          <w:iCs/>
          <w:sz w:val="22"/>
          <w:szCs w:val="22"/>
          <w:u w:val="single"/>
        </w:rPr>
        <w:t>Comment:</w:t>
      </w:r>
    </w:p>
    <w:p w14:paraId="32ED28C5" w14:textId="13E0E2BC" w:rsidR="00E13C10" w:rsidRPr="004B135B" w:rsidRDefault="00E13C10" w:rsidP="00E13C10">
      <w:pPr>
        <w:ind w:left="360"/>
        <w:jc w:val="both"/>
        <w:rPr>
          <w:rFonts w:ascii="Arial" w:hAnsi="Arial" w:cs="Arial"/>
          <w:bCs/>
          <w:sz w:val="22"/>
          <w:szCs w:val="22"/>
        </w:rPr>
      </w:pPr>
      <w:r w:rsidRPr="004B135B">
        <w:rPr>
          <w:rFonts w:ascii="Arial" w:hAnsi="Arial" w:cs="Arial"/>
          <w:sz w:val="22"/>
          <w:szCs w:val="22"/>
        </w:rPr>
        <w:t>During our audit we noted several accounts that were in deficit at June 30, 20</w:t>
      </w:r>
      <w:r>
        <w:rPr>
          <w:rFonts w:ascii="Arial" w:hAnsi="Arial" w:cs="Arial"/>
          <w:sz w:val="22"/>
          <w:szCs w:val="22"/>
        </w:rPr>
        <w:t>20</w:t>
      </w:r>
      <w:r w:rsidRPr="004B135B">
        <w:rPr>
          <w:rFonts w:ascii="Arial" w:hAnsi="Arial" w:cs="Arial"/>
          <w:sz w:val="22"/>
          <w:szCs w:val="22"/>
        </w:rPr>
        <w:t xml:space="preserve">. </w:t>
      </w:r>
      <w:r w:rsidRPr="004B135B">
        <w:rPr>
          <w:rFonts w:ascii="Arial" w:hAnsi="Arial" w:cs="Arial"/>
          <w:bCs/>
          <w:sz w:val="22"/>
          <w:szCs w:val="22"/>
        </w:rPr>
        <w:t xml:space="preserve">Deficit accounts can be an indicator that program revenues are not sufficient to cover program costs (not self-supporting), expenditure or revenues have been reported incorrectly, grant funds are not being submitted for reimbursement timely, misappropriation of assets or a combination of all. </w:t>
      </w:r>
      <w:r>
        <w:rPr>
          <w:rFonts w:ascii="Arial" w:hAnsi="Arial" w:cs="Arial"/>
          <w:bCs/>
          <w:sz w:val="22"/>
          <w:szCs w:val="22"/>
        </w:rPr>
        <w:t>D</w:t>
      </w:r>
      <w:r w:rsidRPr="004B135B">
        <w:rPr>
          <w:rFonts w:ascii="Arial" w:hAnsi="Arial" w:cs="Arial"/>
          <w:bCs/>
          <w:sz w:val="22"/>
          <w:szCs w:val="22"/>
        </w:rPr>
        <w:t>eficit account balances can</w:t>
      </w:r>
      <w:r>
        <w:rPr>
          <w:rFonts w:ascii="Arial" w:hAnsi="Arial" w:cs="Arial"/>
          <w:bCs/>
          <w:sz w:val="22"/>
          <w:szCs w:val="22"/>
        </w:rPr>
        <w:t xml:space="preserve"> have a negative impact on the Town</w:t>
      </w:r>
      <w:r w:rsidRPr="004B135B">
        <w:rPr>
          <w:rFonts w:ascii="Arial" w:hAnsi="Arial" w:cs="Arial"/>
          <w:bCs/>
          <w:sz w:val="22"/>
          <w:szCs w:val="22"/>
        </w:rPr>
        <w:t>’s free cash certification amount, as was the case noted for the fiscal year 20</w:t>
      </w:r>
      <w:r w:rsidR="00511B12">
        <w:rPr>
          <w:rFonts w:ascii="Arial" w:hAnsi="Arial" w:cs="Arial"/>
          <w:bCs/>
          <w:sz w:val="22"/>
          <w:szCs w:val="22"/>
        </w:rPr>
        <w:t>20</w:t>
      </w:r>
      <w:r w:rsidRPr="004B135B">
        <w:rPr>
          <w:rFonts w:ascii="Arial" w:hAnsi="Arial" w:cs="Arial"/>
          <w:bCs/>
          <w:sz w:val="22"/>
          <w:szCs w:val="22"/>
        </w:rPr>
        <w:t xml:space="preserve"> certification amount. </w:t>
      </w:r>
    </w:p>
    <w:p w14:paraId="4F41CE27" w14:textId="77777777" w:rsidR="00E13C10" w:rsidRPr="004B135B" w:rsidRDefault="00E13C10" w:rsidP="00E13C10">
      <w:pPr>
        <w:ind w:left="360"/>
        <w:jc w:val="both"/>
        <w:rPr>
          <w:rFonts w:ascii="Arial" w:hAnsi="Arial" w:cs="Arial"/>
          <w:bCs/>
          <w:sz w:val="22"/>
          <w:szCs w:val="22"/>
        </w:rPr>
      </w:pPr>
    </w:p>
    <w:p w14:paraId="2A8E9E0A" w14:textId="16918B3A" w:rsidR="00E13C10" w:rsidRPr="004B135B" w:rsidRDefault="00E13C10" w:rsidP="00E13C10">
      <w:pPr>
        <w:ind w:left="360"/>
        <w:jc w:val="both"/>
        <w:rPr>
          <w:rFonts w:ascii="Arial" w:hAnsi="Arial" w:cs="Arial"/>
          <w:bCs/>
          <w:sz w:val="22"/>
          <w:szCs w:val="22"/>
        </w:rPr>
      </w:pPr>
      <w:r w:rsidRPr="004B135B">
        <w:rPr>
          <w:rFonts w:ascii="Arial" w:hAnsi="Arial" w:cs="Arial"/>
          <w:bCs/>
          <w:sz w:val="22"/>
          <w:szCs w:val="22"/>
        </w:rPr>
        <w:t xml:space="preserve">The </w:t>
      </w:r>
      <w:r>
        <w:rPr>
          <w:rFonts w:ascii="Arial" w:hAnsi="Arial" w:cs="Arial"/>
          <w:bCs/>
          <w:sz w:val="22"/>
          <w:szCs w:val="22"/>
        </w:rPr>
        <w:t>Town</w:t>
      </w:r>
      <w:r w:rsidRPr="004B135B">
        <w:rPr>
          <w:rFonts w:ascii="Arial" w:hAnsi="Arial" w:cs="Arial"/>
          <w:bCs/>
          <w:sz w:val="22"/>
          <w:szCs w:val="22"/>
        </w:rPr>
        <w:t xml:space="preserve"> should implement procedures to revi</w:t>
      </w:r>
      <w:bookmarkStart w:id="1" w:name="_GoBack"/>
      <w:bookmarkEnd w:id="1"/>
      <w:r w:rsidRPr="004B135B">
        <w:rPr>
          <w:rFonts w:ascii="Arial" w:hAnsi="Arial" w:cs="Arial"/>
          <w:bCs/>
          <w:sz w:val="22"/>
          <w:szCs w:val="22"/>
        </w:rPr>
        <w:t xml:space="preserve">ew all deficit accounts to determine why they are in deficit and how the deficit will be provided for or eliminated. </w:t>
      </w:r>
    </w:p>
    <w:p w14:paraId="3C51A061" w14:textId="3480AD6C" w:rsidR="00E13C10" w:rsidRDefault="00E13C10" w:rsidP="00E13C10">
      <w:pPr>
        <w:ind w:left="360"/>
        <w:rPr>
          <w:rFonts w:ascii="Arial" w:hAnsi="Arial" w:cs="Arial"/>
          <w:b/>
          <w:bCs/>
          <w:sz w:val="22"/>
          <w:szCs w:val="22"/>
        </w:rPr>
      </w:pPr>
    </w:p>
    <w:p w14:paraId="4789E7C5" w14:textId="77777777" w:rsidR="00E13C10" w:rsidRDefault="00E13C10" w:rsidP="00E13C10">
      <w:pPr>
        <w:ind w:left="360"/>
        <w:rPr>
          <w:rFonts w:ascii="Arial" w:hAnsi="Arial" w:cs="Arial"/>
          <w:b/>
          <w:bCs/>
          <w:sz w:val="22"/>
          <w:szCs w:val="22"/>
        </w:rPr>
      </w:pPr>
    </w:p>
    <w:p w14:paraId="4582B708" w14:textId="77777777" w:rsidR="005632BA" w:rsidRPr="002F7D5B" w:rsidRDefault="00B21BCD" w:rsidP="00361A4E">
      <w:pPr>
        <w:pStyle w:val="Heading5"/>
        <w:keepNext/>
        <w:numPr>
          <w:ilvl w:val="0"/>
          <w:numId w:val="8"/>
        </w:numPr>
        <w:tabs>
          <w:tab w:val="clear" w:pos="2880"/>
          <w:tab w:val="num" w:pos="720"/>
        </w:tabs>
        <w:spacing w:before="0" w:after="0"/>
        <w:ind w:hanging="2520"/>
        <w:rPr>
          <w:rFonts w:ascii="Arial" w:hAnsi="Arial" w:cs="Arial"/>
          <w:bCs w:val="0"/>
          <w:i w:val="0"/>
          <w:sz w:val="22"/>
          <w:szCs w:val="22"/>
        </w:rPr>
      </w:pPr>
      <w:r w:rsidRPr="002F7D5B">
        <w:rPr>
          <w:rFonts w:ascii="Arial" w:hAnsi="Arial" w:cs="Arial"/>
          <w:bCs w:val="0"/>
          <w:i w:val="0"/>
          <w:sz w:val="22"/>
          <w:szCs w:val="22"/>
        </w:rPr>
        <w:t>Other Areas</w:t>
      </w:r>
    </w:p>
    <w:p w14:paraId="42B4904A" w14:textId="77777777" w:rsidR="005632BA" w:rsidRPr="002F7D5B" w:rsidRDefault="005632BA" w:rsidP="005632BA">
      <w:pPr>
        <w:pStyle w:val="Heading5"/>
        <w:keepNext/>
        <w:spacing w:before="0" w:after="0"/>
        <w:ind w:left="360"/>
        <w:rPr>
          <w:rFonts w:ascii="Arial" w:hAnsi="Arial" w:cs="Arial"/>
          <w:bCs w:val="0"/>
          <w:i w:val="0"/>
          <w:sz w:val="22"/>
          <w:szCs w:val="22"/>
        </w:rPr>
      </w:pPr>
    </w:p>
    <w:p w14:paraId="24102D51" w14:textId="1B83C6A8" w:rsidR="00EF4E6E" w:rsidRPr="002F7D5B" w:rsidRDefault="00B575F0" w:rsidP="00284A40">
      <w:pPr>
        <w:pStyle w:val="BlockText"/>
        <w:numPr>
          <w:ilvl w:val="0"/>
          <w:numId w:val="4"/>
        </w:numPr>
        <w:tabs>
          <w:tab w:val="left" w:pos="1080"/>
          <w:tab w:val="left" w:pos="1440"/>
          <w:tab w:val="left" w:pos="8640"/>
        </w:tabs>
        <w:ind w:right="540" w:hanging="720"/>
        <w:rPr>
          <w:rFonts w:cs="Arial"/>
          <w:bCs/>
          <w:szCs w:val="22"/>
        </w:rPr>
      </w:pPr>
      <w:r>
        <w:rPr>
          <w:rFonts w:cs="Arial"/>
          <w:bCs/>
          <w:szCs w:val="22"/>
        </w:rPr>
        <w:t>Future GASB’s</w:t>
      </w:r>
      <w:r w:rsidR="00284A40">
        <w:rPr>
          <w:rFonts w:cs="Arial"/>
          <w:bCs/>
          <w:szCs w:val="22"/>
        </w:rPr>
        <w:t xml:space="preserve"> (Lease and Fiduciary </w:t>
      </w:r>
      <w:r w:rsidR="00361A4E">
        <w:rPr>
          <w:rFonts w:cs="Arial"/>
          <w:bCs/>
          <w:szCs w:val="22"/>
        </w:rPr>
        <w:t>Activities</w:t>
      </w:r>
      <w:r w:rsidR="00284A40">
        <w:rPr>
          <w:rFonts w:cs="Arial"/>
          <w:bCs/>
          <w:szCs w:val="22"/>
        </w:rPr>
        <w:t>)</w:t>
      </w:r>
      <w:r w:rsidR="00EF4E6E" w:rsidRPr="002F7D5B">
        <w:rPr>
          <w:rFonts w:cs="Arial"/>
          <w:bCs/>
          <w:szCs w:val="22"/>
        </w:rPr>
        <w:t>.</w:t>
      </w:r>
    </w:p>
    <w:p w14:paraId="1BA74C60" w14:textId="77777777" w:rsidR="005D35DC" w:rsidRPr="002F7D5B" w:rsidRDefault="005D35DC" w:rsidP="005D35DC">
      <w:pPr>
        <w:pStyle w:val="BlockText"/>
        <w:tabs>
          <w:tab w:val="left" w:pos="1080"/>
          <w:tab w:val="left" w:pos="1440"/>
          <w:tab w:val="left" w:pos="8640"/>
        </w:tabs>
        <w:ind w:right="540"/>
        <w:rPr>
          <w:rFonts w:cs="Arial"/>
          <w:bCs/>
          <w:szCs w:val="22"/>
        </w:rPr>
      </w:pPr>
    </w:p>
    <w:p w14:paraId="3289B03D" w14:textId="53F7EB54" w:rsidR="005D35DC" w:rsidRDefault="005D35DC" w:rsidP="00284A40">
      <w:pPr>
        <w:pStyle w:val="BlockText"/>
        <w:numPr>
          <w:ilvl w:val="0"/>
          <w:numId w:val="4"/>
        </w:numPr>
        <w:tabs>
          <w:tab w:val="left" w:pos="1080"/>
          <w:tab w:val="left" w:pos="1440"/>
          <w:tab w:val="left" w:pos="8640"/>
        </w:tabs>
        <w:ind w:right="540" w:hanging="720"/>
        <w:rPr>
          <w:rFonts w:cs="Arial"/>
          <w:bCs/>
          <w:szCs w:val="22"/>
        </w:rPr>
      </w:pPr>
      <w:r w:rsidRPr="002F7D5B">
        <w:rPr>
          <w:rFonts w:cs="Arial"/>
          <w:bCs/>
          <w:szCs w:val="22"/>
        </w:rPr>
        <w:t>Reconciliation of Payroll Withholdings</w:t>
      </w:r>
      <w:r w:rsidR="00040BBA">
        <w:rPr>
          <w:rFonts w:cs="Arial"/>
          <w:bCs/>
          <w:szCs w:val="22"/>
        </w:rPr>
        <w:t>, Agency and Other Liability Accounts</w:t>
      </w:r>
      <w:r w:rsidR="00EE4FF0">
        <w:rPr>
          <w:rFonts w:cs="Arial"/>
          <w:bCs/>
          <w:szCs w:val="22"/>
        </w:rPr>
        <w:t>.</w:t>
      </w:r>
    </w:p>
    <w:p w14:paraId="06385B0F" w14:textId="77777777" w:rsidR="00284A40" w:rsidRDefault="00284A40" w:rsidP="00284A40">
      <w:pPr>
        <w:pStyle w:val="ListParagraph"/>
        <w:rPr>
          <w:rFonts w:cs="Arial"/>
          <w:bCs/>
          <w:szCs w:val="22"/>
        </w:rPr>
      </w:pPr>
    </w:p>
    <w:p w14:paraId="3B0A139C" w14:textId="49FDEB11" w:rsidR="00284A40" w:rsidRPr="00560A25" w:rsidRDefault="00284A40" w:rsidP="00284A40">
      <w:pPr>
        <w:pStyle w:val="BodyTextIndent2"/>
        <w:numPr>
          <w:ilvl w:val="0"/>
          <w:numId w:val="4"/>
        </w:numPr>
        <w:tabs>
          <w:tab w:val="clear" w:pos="720"/>
          <w:tab w:val="clear" w:pos="1440"/>
          <w:tab w:val="clear" w:pos="1710"/>
          <w:tab w:val="clear" w:pos="8550"/>
        </w:tabs>
        <w:spacing w:line="240" w:lineRule="auto"/>
        <w:ind w:left="1080"/>
        <w:jc w:val="both"/>
        <w:rPr>
          <w:b w:val="0"/>
        </w:rPr>
      </w:pPr>
      <w:r w:rsidRPr="00560A25">
        <w:rPr>
          <w:b w:val="0"/>
        </w:rPr>
        <w:t>Review veteran, blind and surviving spouse exemption reimbursement revenue (MDM-1) for 2020</w:t>
      </w:r>
      <w:r w:rsidR="005E288F">
        <w:rPr>
          <w:b w:val="0"/>
        </w:rPr>
        <w:t xml:space="preserve"> ($9,500)</w:t>
      </w:r>
      <w:r w:rsidRPr="00560A25">
        <w:rPr>
          <w:b w:val="0"/>
        </w:rPr>
        <w:t>.</w:t>
      </w:r>
    </w:p>
    <w:p w14:paraId="5A678C11" w14:textId="77777777" w:rsidR="00AF1B14" w:rsidRPr="00284A40" w:rsidRDefault="00AF1B14" w:rsidP="00284A40">
      <w:pPr>
        <w:pStyle w:val="BlockText"/>
        <w:tabs>
          <w:tab w:val="left" w:pos="1080"/>
          <w:tab w:val="left" w:pos="1440"/>
          <w:tab w:val="left" w:pos="8640"/>
        </w:tabs>
        <w:ind w:right="540"/>
        <w:rPr>
          <w:rFonts w:cs="Arial"/>
          <w:bCs/>
          <w:szCs w:val="22"/>
        </w:rPr>
      </w:pPr>
    </w:p>
    <w:p w14:paraId="51755A97" w14:textId="77777777" w:rsidR="00322D5D" w:rsidRPr="002F7D5B" w:rsidRDefault="00322D5D" w:rsidP="00DB71F4">
      <w:pPr>
        <w:jc w:val="both"/>
        <w:rPr>
          <w:rFonts w:ascii="Arial" w:hAnsi="Arial" w:cs="Arial"/>
          <w:sz w:val="22"/>
          <w:szCs w:val="22"/>
        </w:rPr>
      </w:pPr>
    </w:p>
    <w:sectPr w:rsidR="00322D5D" w:rsidRPr="002F7D5B" w:rsidSect="000F2732">
      <w:headerReference w:type="default" r:id="rId10"/>
      <w:footerReference w:type="even" r:id="rId11"/>
      <w:footerReference w:type="default" r:id="rId12"/>
      <w:pgSz w:w="12240" w:h="15840" w:code="1"/>
      <w:pgMar w:top="1440" w:right="1440" w:bottom="1080" w:left="1440" w:header="720"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92242" w14:textId="77777777" w:rsidR="003D39EB" w:rsidRDefault="003D39EB">
      <w:r>
        <w:separator/>
      </w:r>
    </w:p>
  </w:endnote>
  <w:endnote w:type="continuationSeparator" w:id="0">
    <w:p w14:paraId="48F48CF8" w14:textId="77777777" w:rsidR="003D39EB" w:rsidRDefault="003D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1FCF" w14:textId="77777777" w:rsidR="004662A5" w:rsidRDefault="00466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305B8" w14:textId="77777777" w:rsidR="004662A5" w:rsidRDefault="004662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94E0E" w14:textId="77777777" w:rsidR="004662A5" w:rsidRDefault="00466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A5E">
      <w:rPr>
        <w:rStyle w:val="PageNumber"/>
        <w:noProof/>
      </w:rPr>
      <w:t>4</w:t>
    </w:r>
    <w:r>
      <w:rPr>
        <w:rStyle w:val="PageNumber"/>
      </w:rPr>
      <w:fldChar w:fldCharType="end"/>
    </w:r>
  </w:p>
  <w:p w14:paraId="20344927" w14:textId="77777777" w:rsidR="004662A5" w:rsidRDefault="004662A5">
    <w:pPr>
      <w:pStyle w:val="Footer"/>
      <w:rPr>
        <w:rFonts w:ascii="Arial" w:hAnsi="Arial" w:cs="Arial"/>
        <w:b/>
        <w:bCs/>
        <w:sz w:val="36"/>
      </w:rPr>
    </w:pPr>
    <w:r>
      <w:rPr>
        <w:rFonts w:ascii="Arial" w:hAnsi="Arial" w:cs="Arial"/>
        <w:b/>
        <w:bCs/>
        <w:sz w:val="36"/>
      </w:rPr>
      <w:tab/>
    </w:r>
    <w:r>
      <w:rPr>
        <w:rFonts w:ascii="Arial" w:hAnsi="Arial" w:cs="Arial"/>
        <w:b/>
        <w:bCs/>
        <w:sz w:val="36"/>
      </w:rPr>
      <w:tab/>
    </w:r>
  </w:p>
  <w:p w14:paraId="10E71D62" w14:textId="77777777" w:rsidR="004662A5" w:rsidRPr="009730F9" w:rsidRDefault="004662A5">
    <w:pPr>
      <w:pStyle w:val="Footer"/>
      <w:framePr w:wrap="around" w:vAnchor="text" w:hAnchor="page" w:x="5941" w:y="75"/>
      <w:ind w:right="360"/>
      <w:rPr>
        <w:rStyle w:val="PageNumber"/>
        <w:rFonts w:ascii="Arial" w:hAnsi="Arial" w:cs="Arial"/>
        <w:sz w:val="22"/>
        <w:szCs w:val="22"/>
      </w:rPr>
    </w:pPr>
  </w:p>
  <w:p w14:paraId="0D5F05A2" w14:textId="77777777" w:rsidR="004662A5" w:rsidRPr="009730F9" w:rsidRDefault="004662A5">
    <w:pPr>
      <w:pStyle w:val="Footer"/>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D682F" w14:textId="77777777" w:rsidR="003D39EB" w:rsidRDefault="003D39EB">
      <w:r>
        <w:separator/>
      </w:r>
    </w:p>
  </w:footnote>
  <w:footnote w:type="continuationSeparator" w:id="0">
    <w:p w14:paraId="0922BC06" w14:textId="77777777" w:rsidR="003D39EB" w:rsidRDefault="003D3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06980"/>
      <w:docPartObj>
        <w:docPartGallery w:val="Watermarks"/>
        <w:docPartUnique/>
      </w:docPartObj>
    </w:sdtPr>
    <w:sdtContent>
      <w:p w14:paraId="511FCD68" w14:textId="23E8F4BB" w:rsidR="00361A4E" w:rsidRDefault="00361A4E">
        <w:pPr>
          <w:pStyle w:val="Header"/>
        </w:pPr>
        <w:r>
          <w:rPr>
            <w:noProof/>
            <w:lang w:eastAsia="zh-TW"/>
          </w:rPr>
          <w:pict w14:anchorId="3C854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31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1A9"/>
    <w:multiLevelType w:val="hybridMultilevel"/>
    <w:tmpl w:val="A022DC0A"/>
    <w:lvl w:ilvl="0" w:tplc="D0D4D0F0">
      <w:start w:val="4"/>
      <w:numFmt w:val="decimal"/>
      <w:lvlText w:val="%1."/>
      <w:lvlJc w:val="left"/>
      <w:pPr>
        <w:tabs>
          <w:tab w:val="num" w:pos="2880"/>
        </w:tabs>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5DB0"/>
    <w:multiLevelType w:val="hybridMultilevel"/>
    <w:tmpl w:val="D83CF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6401F4"/>
    <w:multiLevelType w:val="hybridMultilevel"/>
    <w:tmpl w:val="11C29A06"/>
    <w:lvl w:ilvl="0" w:tplc="6B4CADF2">
      <w:start w:val="2"/>
      <w:numFmt w:val="decimal"/>
      <w:lvlText w:val="%1."/>
      <w:lvlJc w:val="left"/>
      <w:pPr>
        <w:tabs>
          <w:tab w:val="num" w:pos="2880"/>
        </w:tabs>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C3B66"/>
    <w:multiLevelType w:val="hybridMultilevel"/>
    <w:tmpl w:val="3B463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DF23E6"/>
    <w:multiLevelType w:val="hybridMultilevel"/>
    <w:tmpl w:val="EE3AE3EA"/>
    <w:lvl w:ilvl="0" w:tplc="7BBC42B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C6DEA"/>
    <w:multiLevelType w:val="hybridMultilevel"/>
    <w:tmpl w:val="06C64E1E"/>
    <w:lvl w:ilvl="0" w:tplc="21BA4480">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1F239D"/>
    <w:multiLevelType w:val="hybridMultilevel"/>
    <w:tmpl w:val="0C86F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5D40A8"/>
    <w:multiLevelType w:val="hybridMultilevel"/>
    <w:tmpl w:val="65529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noPunctuationKerning/>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5D"/>
    <w:rsid w:val="000208F5"/>
    <w:rsid w:val="00033AD1"/>
    <w:rsid w:val="00040BBA"/>
    <w:rsid w:val="00042A1C"/>
    <w:rsid w:val="000552D6"/>
    <w:rsid w:val="00056C02"/>
    <w:rsid w:val="000602C7"/>
    <w:rsid w:val="00086B6F"/>
    <w:rsid w:val="000B13C2"/>
    <w:rsid w:val="000D450C"/>
    <w:rsid w:val="000E405A"/>
    <w:rsid w:val="000F2732"/>
    <w:rsid w:val="000F2CB2"/>
    <w:rsid w:val="00115447"/>
    <w:rsid w:val="00144637"/>
    <w:rsid w:val="00146FE2"/>
    <w:rsid w:val="001506BE"/>
    <w:rsid w:val="00150720"/>
    <w:rsid w:val="00194C1C"/>
    <w:rsid w:val="001A1A66"/>
    <w:rsid w:val="001A4F3E"/>
    <w:rsid w:val="001A5BE1"/>
    <w:rsid w:val="001A6B9F"/>
    <w:rsid w:val="001C7338"/>
    <w:rsid w:val="001D4DAE"/>
    <w:rsid w:val="001E1AE9"/>
    <w:rsid w:val="001F6435"/>
    <w:rsid w:val="001F704F"/>
    <w:rsid w:val="00210766"/>
    <w:rsid w:val="0022369D"/>
    <w:rsid w:val="00223806"/>
    <w:rsid w:val="00230E0E"/>
    <w:rsid w:val="00240433"/>
    <w:rsid w:val="002424A1"/>
    <w:rsid w:val="00253B3D"/>
    <w:rsid w:val="00281365"/>
    <w:rsid w:val="00284A40"/>
    <w:rsid w:val="002B033B"/>
    <w:rsid w:val="002B035D"/>
    <w:rsid w:val="002B5061"/>
    <w:rsid w:val="002C05A3"/>
    <w:rsid w:val="002E0DC8"/>
    <w:rsid w:val="002E28EC"/>
    <w:rsid w:val="002E3B8B"/>
    <w:rsid w:val="002F7D5B"/>
    <w:rsid w:val="00322D5D"/>
    <w:rsid w:val="003258D8"/>
    <w:rsid w:val="00361A4E"/>
    <w:rsid w:val="00377418"/>
    <w:rsid w:val="003917E9"/>
    <w:rsid w:val="003A1045"/>
    <w:rsid w:val="003A3B6C"/>
    <w:rsid w:val="003B5F85"/>
    <w:rsid w:val="003C36F1"/>
    <w:rsid w:val="003C41CF"/>
    <w:rsid w:val="003D39EB"/>
    <w:rsid w:val="003E7C05"/>
    <w:rsid w:val="004144D1"/>
    <w:rsid w:val="00431588"/>
    <w:rsid w:val="00437090"/>
    <w:rsid w:val="00446C43"/>
    <w:rsid w:val="0045568B"/>
    <w:rsid w:val="004662A5"/>
    <w:rsid w:val="004A722E"/>
    <w:rsid w:val="004D4B7B"/>
    <w:rsid w:val="004E1C17"/>
    <w:rsid w:val="004E1F97"/>
    <w:rsid w:val="004E2FDF"/>
    <w:rsid w:val="004F0215"/>
    <w:rsid w:val="00511B12"/>
    <w:rsid w:val="00520A6B"/>
    <w:rsid w:val="005354F8"/>
    <w:rsid w:val="00537095"/>
    <w:rsid w:val="005551CB"/>
    <w:rsid w:val="00561D6F"/>
    <w:rsid w:val="005632BA"/>
    <w:rsid w:val="00594142"/>
    <w:rsid w:val="005B5820"/>
    <w:rsid w:val="005C0A1D"/>
    <w:rsid w:val="005D1608"/>
    <w:rsid w:val="005D35DC"/>
    <w:rsid w:val="005D4BE9"/>
    <w:rsid w:val="005E081C"/>
    <w:rsid w:val="005E288F"/>
    <w:rsid w:val="0063199D"/>
    <w:rsid w:val="00631E07"/>
    <w:rsid w:val="00652A54"/>
    <w:rsid w:val="00697120"/>
    <w:rsid w:val="006A298D"/>
    <w:rsid w:val="006E0798"/>
    <w:rsid w:val="006F39C5"/>
    <w:rsid w:val="00713BE8"/>
    <w:rsid w:val="00715681"/>
    <w:rsid w:val="00770B40"/>
    <w:rsid w:val="00794AEC"/>
    <w:rsid w:val="007B028A"/>
    <w:rsid w:val="007D13CB"/>
    <w:rsid w:val="007D4F15"/>
    <w:rsid w:val="007F1236"/>
    <w:rsid w:val="0080224B"/>
    <w:rsid w:val="00806831"/>
    <w:rsid w:val="00832FBF"/>
    <w:rsid w:val="00857539"/>
    <w:rsid w:val="00877630"/>
    <w:rsid w:val="008A306A"/>
    <w:rsid w:val="008E1E70"/>
    <w:rsid w:val="00903BA0"/>
    <w:rsid w:val="00930831"/>
    <w:rsid w:val="009730F9"/>
    <w:rsid w:val="00973E7A"/>
    <w:rsid w:val="00975502"/>
    <w:rsid w:val="0099776C"/>
    <w:rsid w:val="009B3E82"/>
    <w:rsid w:val="009B3F6E"/>
    <w:rsid w:val="009C3C21"/>
    <w:rsid w:val="00A31801"/>
    <w:rsid w:val="00A34A2A"/>
    <w:rsid w:val="00A41A91"/>
    <w:rsid w:val="00A4248B"/>
    <w:rsid w:val="00A53C8B"/>
    <w:rsid w:val="00A84052"/>
    <w:rsid w:val="00AF1B14"/>
    <w:rsid w:val="00AF6DCA"/>
    <w:rsid w:val="00B17EF1"/>
    <w:rsid w:val="00B21BCD"/>
    <w:rsid w:val="00B23A65"/>
    <w:rsid w:val="00B272D8"/>
    <w:rsid w:val="00B40AD2"/>
    <w:rsid w:val="00B55E0E"/>
    <w:rsid w:val="00B575F0"/>
    <w:rsid w:val="00B65BDD"/>
    <w:rsid w:val="00B84FCA"/>
    <w:rsid w:val="00B97CD6"/>
    <w:rsid w:val="00BA17F7"/>
    <w:rsid w:val="00BB282F"/>
    <w:rsid w:val="00BC062D"/>
    <w:rsid w:val="00BC63CF"/>
    <w:rsid w:val="00BE2499"/>
    <w:rsid w:val="00C1342B"/>
    <w:rsid w:val="00C17D7A"/>
    <w:rsid w:val="00C45834"/>
    <w:rsid w:val="00C63257"/>
    <w:rsid w:val="00C8215E"/>
    <w:rsid w:val="00C8671B"/>
    <w:rsid w:val="00CA1775"/>
    <w:rsid w:val="00CA3874"/>
    <w:rsid w:val="00CC4099"/>
    <w:rsid w:val="00D16A9D"/>
    <w:rsid w:val="00D42F63"/>
    <w:rsid w:val="00D57567"/>
    <w:rsid w:val="00D57D07"/>
    <w:rsid w:val="00D6151B"/>
    <w:rsid w:val="00D93E5E"/>
    <w:rsid w:val="00DB71F4"/>
    <w:rsid w:val="00DC074F"/>
    <w:rsid w:val="00DC0FE7"/>
    <w:rsid w:val="00DC376C"/>
    <w:rsid w:val="00DD5577"/>
    <w:rsid w:val="00E13C10"/>
    <w:rsid w:val="00E30B72"/>
    <w:rsid w:val="00E453F8"/>
    <w:rsid w:val="00E5694E"/>
    <w:rsid w:val="00E6535D"/>
    <w:rsid w:val="00E66D28"/>
    <w:rsid w:val="00E674A4"/>
    <w:rsid w:val="00E81820"/>
    <w:rsid w:val="00EA4149"/>
    <w:rsid w:val="00EB46CC"/>
    <w:rsid w:val="00ED67D2"/>
    <w:rsid w:val="00EE4FF0"/>
    <w:rsid w:val="00EF4E6E"/>
    <w:rsid w:val="00F10649"/>
    <w:rsid w:val="00F23151"/>
    <w:rsid w:val="00F24D55"/>
    <w:rsid w:val="00F52541"/>
    <w:rsid w:val="00F65F55"/>
    <w:rsid w:val="00F67C4E"/>
    <w:rsid w:val="00F93384"/>
    <w:rsid w:val="00FA06D7"/>
    <w:rsid w:val="00FD69A2"/>
    <w:rsid w:val="00FE2A5E"/>
    <w:rsid w:val="00FE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7C8D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qFormat/>
    <w:pPr>
      <w:keepNext/>
      <w:jc w:val="center"/>
      <w:outlineLvl w:val="1"/>
    </w:pPr>
    <w:rPr>
      <w:rFonts w:ascii="Arial" w:hAnsi="Arial"/>
      <w:b/>
      <w:bCs/>
      <w:sz w:val="22"/>
    </w:rPr>
  </w:style>
  <w:style w:type="paragraph" w:styleId="Heading3">
    <w:name w:val="heading 3"/>
    <w:basedOn w:val="Normal"/>
    <w:next w:val="Normal"/>
    <w:qFormat/>
    <w:pPr>
      <w:keepNext/>
      <w:tabs>
        <w:tab w:val="left" w:pos="720"/>
        <w:tab w:val="left" w:pos="1440"/>
        <w:tab w:val="right" w:leader="dot" w:pos="8550"/>
      </w:tabs>
      <w:spacing w:line="360" w:lineRule="auto"/>
      <w:outlineLvl w:val="2"/>
    </w:pPr>
    <w:rPr>
      <w:rFonts w:ascii="Arial" w:hAnsi="Arial" w:cs="Arial"/>
      <w:b/>
      <w:bCs/>
      <w:i/>
      <w:iCs/>
      <w:sz w:val="22"/>
    </w:rPr>
  </w:style>
  <w:style w:type="paragraph" w:styleId="Heading4">
    <w:name w:val="heading 4"/>
    <w:basedOn w:val="Normal"/>
    <w:next w:val="Normal"/>
    <w:qFormat/>
    <w:pPr>
      <w:keepNext/>
      <w:outlineLvl w:val="3"/>
    </w:pPr>
    <w:rPr>
      <w:rFonts w:ascii="Arial" w:hAnsi="Arial"/>
      <w:b/>
      <w:bCs/>
      <w:sz w:val="22"/>
    </w:rPr>
  </w:style>
  <w:style w:type="paragraph" w:styleId="Heading5">
    <w:name w:val="heading 5"/>
    <w:basedOn w:val="Normal"/>
    <w:next w:val="Normal"/>
    <w:link w:val="Heading5Char"/>
    <w:uiPriority w:val="9"/>
    <w:semiHidden/>
    <w:unhideWhenUsed/>
    <w:qFormat/>
    <w:rsid w:val="009B3F6E"/>
    <w:pPr>
      <w:spacing w:before="240" w:after="60"/>
      <w:outlineLvl w:val="4"/>
    </w:pPr>
    <w:rPr>
      <w:rFonts w:ascii="Calibri" w:hAnsi="Calibri"/>
      <w:b/>
      <w:bCs/>
      <w:i/>
      <w:iCs/>
      <w:sz w:val="26"/>
      <w:szCs w:val="26"/>
    </w:rPr>
  </w:style>
  <w:style w:type="paragraph" w:styleId="Heading6">
    <w:name w:val="heading 6"/>
    <w:basedOn w:val="Normal"/>
    <w:next w:val="Normal"/>
    <w:qFormat/>
    <w:pPr>
      <w:keepNext/>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araText">
    <w:name w:val="PA_ParaText"/>
    <w:basedOn w:val="Normal"/>
    <w:pPr>
      <w:spacing w:after="120"/>
      <w:jc w:val="both"/>
    </w:pPr>
    <w:rPr>
      <w:rFonts w:ascii="Arial" w:eastAsia="SimSun" w:hAnsi="Arial"/>
      <w:sz w:val="20"/>
      <w:szCs w:val="20"/>
      <w:lang w:eastAsia="zh-CN"/>
    </w:rPr>
  </w:style>
  <w:style w:type="paragraph" w:styleId="BodyText">
    <w:name w:val="Body Text"/>
    <w:basedOn w:val="Normal"/>
    <w:semiHidden/>
    <w:rPr>
      <w:rFonts w:ascii="Arial" w:hAnsi="Arial" w:cs="Arial"/>
      <w:sz w:val="20"/>
    </w:rPr>
  </w:style>
  <w:style w:type="paragraph" w:styleId="BlockText">
    <w:name w:val="Block Text"/>
    <w:basedOn w:val="Normal"/>
    <w:pPr>
      <w:ind w:left="1440" w:right="1440"/>
    </w:pPr>
    <w:rPr>
      <w:rFonts w:ascii="Arial" w:hAnsi="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1440"/>
    </w:pPr>
    <w:rPr>
      <w:rFonts w:ascii="Arial" w:hAnsi="Arial"/>
      <w:sz w:val="22"/>
    </w:rPr>
  </w:style>
  <w:style w:type="paragraph" w:styleId="BodyText2">
    <w:name w:val="Body Text 2"/>
    <w:basedOn w:val="Normal"/>
    <w:link w:val="BodyText2Char"/>
    <w:semiHidden/>
    <w:pPr>
      <w:jc w:val="both"/>
    </w:pPr>
    <w:rPr>
      <w:rFonts w:ascii="Arial" w:hAnsi="Arial" w:cs="Arial"/>
      <w:sz w:val="22"/>
    </w:rPr>
  </w:style>
  <w:style w:type="paragraph" w:styleId="BodyText3">
    <w:name w:val="Body Text 3"/>
    <w:basedOn w:val="Normal"/>
    <w:semiHidden/>
    <w:pPr>
      <w:jc w:val="both"/>
    </w:pPr>
    <w:rPr>
      <w:rFonts w:ascii="Arial" w:hAnsi="Arial"/>
      <w:sz w:val="22"/>
    </w:rPr>
  </w:style>
  <w:style w:type="character" w:styleId="PageNumber">
    <w:name w:val="page number"/>
    <w:basedOn w:val="DefaultParagraphFont"/>
    <w:semiHidden/>
  </w:style>
  <w:style w:type="paragraph" w:styleId="BodyTextIndent2">
    <w:name w:val="Body Text Indent 2"/>
    <w:basedOn w:val="Normal"/>
    <w:semiHidden/>
    <w:pPr>
      <w:tabs>
        <w:tab w:val="left" w:pos="720"/>
        <w:tab w:val="left" w:pos="1440"/>
        <w:tab w:val="left" w:pos="1710"/>
        <w:tab w:val="right" w:leader="dot" w:pos="8550"/>
      </w:tabs>
      <w:spacing w:line="360" w:lineRule="auto"/>
      <w:ind w:left="720" w:hanging="720"/>
    </w:pPr>
    <w:rPr>
      <w:rFonts w:ascii="Arial" w:hAnsi="Arial" w:cs="Arial"/>
      <w:b/>
      <w:sz w:val="22"/>
      <w:szCs w:val="22"/>
    </w:rPr>
  </w:style>
  <w:style w:type="paragraph" w:styleId="BodyTextIndent3">
    <w:name w:val="Body Text Indent 3"/>
    <w:basedOn w:val="Normal"/>
    <w:semiHidden/>
    <w:pPr>
      <w:ind w:left="720"/>
      <w:jc w:val="both"/>
    </w:pPr>
    <w:rPr>
      <w:rFonts w:ascii="Arial" w:hAnsi="Arial" w:cs="Arial"/>
      <w:sz w:val="22"/>
    </w:rPr>
  </w:style>
  <w:style w:type="paragraph" w:styleId="ListParagraph">
    <w:name w:val="List Paragraph"/>
    <w:basedOn w:val="Normal"/>
    <w:uiPriority w:val="34"/>
    <w:qFormat/>
    <w:rsid w:val="001A4F3E"/>
    <w:pPr>
      <w:ind w:left="720"/>
    </w:pPr>
  </w:style>
  <w:style w:type="character" w:customStyle="1" w:styleId="BodyText2Char">
    <w:name w:val="Body Text 2 Char"/>
    <w:link w:val="BodyText2"/>
    <w:semiHidden/>
    <w:rsid w:val="00210766"/>
    <w:rPr>
      <w:rFonts w:ascii="Arial" w:hAnsi="Arial" w:cs="Arial"/>
      <w:sz w:val="22"/>
      <w:szCs w:val="24"/>
    </w:rPr>
  </w:style>
  <w:style w:type="character" w:customStyle="1" w:styleId="Heading5Char">
    <w:name w:val="Heading 5 Char"/>
    <w:link w:val="Heading5"/>
    <w:uiPriority w:val="9"/>
    <w:semiHidden/>
    <w:rsid w:val="009B3F6E"/>
    <w:rPr>
      <w:rFonts w:ascii="Calibri" w:eastAsia="Times New Roman" w:hAnsi="Calibri" w:cs="Times New Roman"/>
      <w:b/>
      <w:bCs/>
      <w:i/>
      <w:iCs/>
      <w:sz w:val="26"/>
      <w:szCs w:val="26"/>
    </w:rPr>
  </w:style>
  <w:style w:type="paragraph" w:styleId="NoSpacing">
    <w:name w:val="No Spacing"/>
    <w:uiPriority w:val="1"/>
    <w:qFormat/>
    <w:rsid w:val="005C0A1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qFormat/>
    <w:pPr>
      <w:keepNext/>
      <w:jc w:val="center"/>
      <w:outlineLvl w:val="1"/>
    </w:pPr>
    <w:rPr>
      <w:rFonts w:ascii="Arial" w:hAnsi="Arial"/>
      <w:b/>
      <w:bCs/>
      <w:sz w:val="22"/>
    </w:rPr>
  </w:style>
  <w:style w:type="paragraph" w:styleId="Heading3">
    <w:name w:val="heading 3"/>
    <w:basedOn w:val="Normal"/>
    <w:next w:val="Normal"/>
    <w:qFormat/>
    <w:pPr>
      <w:keepNext/>
      <w:tabs>
        <w:tab w:val="left" w:pos="720"/>
        <w:tab w:val="left" w:pos="1440"/>
        <w:tab w:val="right" w:leader="dot" w:pos="8550"/>
      </w:tabs>
      <w:spacing w:line="360" w:lineRule="auto"/>
      <w:outlineLvl w:val="2"/>
    </w:pPr>
    <w:rPr>
      <w:rFonts w:ascii="Arial" w:hAnsi="Arial" w:cs="Arial"/>
      <w:b/>
      <w:bCs/>
      <w:i/>
      <w:iCs/>
      <w:sz w:val="22"/>
    </w:rPr>
  </w:style>
  <w:style w:type="paragraph" w:styleId="Heading4">
    <w:name w:val="heading 4"/>
    <w:basedOn w:val="Normal"/>
    <w:next w:val="Normal"/>
    <w:qFormat/>
    <w:pPr>
      <w:keepNext/>
      <w:outlineLvl w:val="3"/>
    </w:pPr>
    <w:rPr>
      <w:rFonts w:ascii="Arial" w:hAnsi="Arial"/>
      <w:b/>
      <w:bCs/>
      <w:sz w:val="22"/>
    </w:rPr>
  </w:style>
  <w:style w:type="paragraph" w:styleId="Heading5">
    <w:name w:val="heading 5"/>
    <w:basedOn w:val="Normal"/>
    <w:next w:val="Normal"/>
    <w:link w:val="Heading5Char"/>
    <w:uiPriority w:val="9"/>
    <w:semiHidden/>
    <w:unhideWhenUsed/>
    <w:qFormat/>
    <w:rsid w:val="009B3F6E"/>
    <w:pPr>
      <w:spacing w:before="240" w:after="60"/>
      <w:outlineLvl w:val="4"/>
    </w:pPr>
    <w:rPr>
      <w:rFonts w:ascii="Calibri" w:hAnsi="Calibri"/>
      <w:b/>
      <w:bCs/>
      <w:i/>
      <w:iCs/>
      <w:sz w:val="26"/>
      <w:szCs w:val="26"/>
    </w:rPr>
  </w:style>
  <w:style w:type="paragraph" w:styleId="Heading6">
    <w:name w:val="heading 6"/>
    <w:basedOn w:val="Normal"/>
    <w:next w:val="Normal"/>
    <w:qFormat/>
    <w:pPr>
      <w:keepNext/>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araText">
    <w:name w:val="PA_ParaText"/>
    <w:basedOn w:val="Normal"/>
    <w:pPr>
      <w:spacing w:after="120"/>
      <w:jc w:val="both"/>
    </w:pPr>
    <w:rPr>
      <w:rFonts w:ascii="Arial" w:eastAsia="SimSun" w:hAnsi="Arial"/>
      <w:sz w:val="20"/>
      <w:szCs w:val="20"/>
      <w:lang w:eastAsia="zh-CN"/>
    </w:rPr>
  </w:style>
  <w:style w:type="paragraph" w:styleId="BodyText">
    <w:name w:val="Body Text"/>
    <w:basedOn w:val="Normal"/>
    <w:semiHidden/>
    <w:rPr>
      <w:rFonts w:ascii="Arial" w:hAnsi="Arial" w:cs="Arial"/>
      <w:sz w:val="20"/>
    </w:rPr>
  </w:style>
  <w:style w:type="paragraph" w:styleId="BlockText">
    <w:name w:val="Block Text"/>
    <w:basedOn w:val="Normal"/>
    <w:pPr>
      <w:ind w:left="1440" w:right="1440"/>
    </w:pPr>
    <w:rPr>
      <w:rFonts w:ascii="Arial" w:hAnsi="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1440"/>
    </w:pPr>
    <w:rPr>
      <w:rFonts w:ascii="Arial" w:hAnsi="Arial"/>
      <w:sz w:val="22"/>
    </w:rPr>
  </w:style>
  <w:style w:type="paragraph" w:styleId="BodyText2">
    <w:name w:val="Body Text 2"/>
    <w:basedOn w:val="Normal"/>
    <w:link w:val="BodyText2Char"/>
    <w:semiHidden/>
    <w:pPr>
      <w:jc w:val="both"/>
    </w:pPr>
    <w:rPr>
      <w:rFonts w:ascii="Arial" w:hAnsi="Arial" w:cs="Arial"/>
      <w:sz w:val="22"/>
    </w:rPr>
  </w:style>
  <w:style w:type="paragraph" w:styleId="BodyText3">
    <w:name w:val="Body Text 3"/>
    <w:basedOn w:val="Normal"/>
    <w:semiHidden/>
    <w:pPr>
      <w:jc w:val="both"/>
    </w:pPr>
    <w:rPr>
      <w:rFonts w:ascii="Arial" w:hAnsi="Arial"/>
      <w:sz w:val="22"/>
    </w:rPr>
  </w:style>
  <w:style w:type="character" w:styleId="PageNumber">
    <w:name w:val="page number"/>
    <w:basedOn w:val="DefaultParagraphFont"/>
    <w:semiHidden/>
  </w:style>
  <w:style w:type="paragraph" w:styleId="BodyTextIndent2">
    <w:name w:val="Body Text Indent 2"/>
    <w:basedOn w:val="Normal"/>
    <w:semiHidden/>
    <w:pPr>
      <w:tabs>
        <w:tab w:val="left" w:pos="720"/>
        <w:tab w:val="left" w:pos="1440"/>
        <w:tab w:val="left" w:pos="1710"/>
        <w:tab w:val="right" w:leader="dot" w:pos="8550"/>
      </w:tabs>
      <w:spacing w:line="360" w:lineRule="auto"/>
      <w:ind w:left="720" w:hanging="720"/>
    </w:pPr>
    <w:rPr>
      <w:rFonts w:ascii="Arial" w:hAnsi="Arial" w:cs="Arial"/>
      <w:b/>
      <w:sz w:val="22"/>
      <w:szCs w:val="22"/>
    </w:rPr>
  </w:style>
  <w:style w:type="paragraph" w:styleId="BodyTextIndent3">
    <w:name w:val="Body Text Indent 3"/>
    <w:basedOn w:val="Normal"/>
    <w:semiHidden/>
    <w:pPr>
      <w:ind w:left="720"/>
      <w:jc w:val="both"/>
    </w:pPr>
    <w:rPr>
      <w:rFonts w:ascii="Arial" w:hAnsi="Arial" w:cs="Arial"/>
      <w:sz w:val="22"/>
    </w:rPr>
  </w:style>
  <w:style w:type="paragraph" w:styleId="ListParagraph">
    <w:name w:val="List Paragraph"/>
    <w:basedOn w:val="Normal"/>
    <w:uiPriority w:val="34"/>
    <w:qFormat/>
    <w:rsid w:val="001A4F3E"/>
    <w:pPr>
      <w:ind w:left="720"/>
    </w:pPr>
  </w:style>
  <w:style w:type="character" w:customStyle="1" w:styleId="BodyText2Char">
    <w:name w:val="Body Text 2 Char"/>
    <w:link w:val="BodyText2"/>
    <w:semiHidden/>
    <w:rsid w:val="00210766"/>
    <w:rPr>
      <w:rFonts w:ascii="Arial" w:hAnsi="Arial" w:cs="Arial"/>
      <w:sz w:val="22"/>
      <w:szCs w:val="24"/>
    </w:rPr>
  </w:style>
  <w:style w:type="character" w:customStyle="1" w:styleId="Heading5Char">
    <w:name w:val="Heading 5 Char"/>
    <w:link w:val="Heading5"/>
    <w:uiPriority w:val="9"/>
    <w:semiHidden/>
    <w:rsid w:val="009B3F6E"/>
    <w:rPr>
      <w:rFonts w:ascii="Calibri" w:eastAsia="Times New Roman" w:hAnsi="Calibri" w:cs="Times New Roman"/>
      <w:b/>
      <w:bCs/>
      <w:i/>
      <w:iCs/>
      <w:sz w:val="26"/>
      <w:szCs w:val="26"/>
    </w:rPr>
  </w:style>
  <w:style w:type="paragraph" w:styleId="NoSpacing">
    <w:name w:val="No Spacing"/>
    <w:uiPriority w:val="1"/>
    <w:qFormat/>
    <w:rsid w:val="005C0A1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E0D0-CA60-436D-9167-3CD05B9E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1098</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 the Board of Selectmen</vt:lpstr>
    </vt:vector>
  </TitlesOfParts>
  <Company>Microsoft</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Board of Selectmen</dc:title>
  <dc:creator>Greg</dc:creator>
  <cp:lastModifiedBy>Thomas J. Scanlon Jr</cp:lastModifiedBy>
  <cp:revision>12</cp:revision>
  <cp:lastPrinted>2017-06-27T12:24:00Z</cp:lastPrinted>
  <dcterms:created xsi:type="dcterms:W3CDTF">2021-04-19T15:30:00Z</dcterms:created>
  <dcterms:modified xsi:type="dcterms:W3CDTF">2021-04-19T18:04:00Z</dcterms:modified>
</cp:coreProperties>
</file>

<file path=docProps/custom.xml><?xml version="1.0" encoding="utf-8"?>
<Properties xmlns="http://schemas.openxmlformats.org/officeDocument/2006/custom-properties" xmlns:vt="http://schemas.openxmlformats.org/officeDocument/2006/docPropsVTypes"/>
</file>